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5855C" w14:textId="77777777" w:rsidR="00CE23AD" w:rsidRPr="00BB262A" w:rsidRDefault="00CE23AD" w:rsidP="00BB262A">
      <w:pPr>
        <w:rPr>
          <w:rStyle w:val="Heading1Char"/>
        </w:rPr>
      </w:pPr>
    </w:p>
    <w:p w14:paraId="2ECEB85B" w14:textId="4BC091E3" w:rsidR="00EA6F93" w:rsidRDefault="00274C66" w:rsidP="006C7089">
      <w:pPr>
        <w:pStyle w:val="Heading2"/>
        <w:rPr>
          <w:rStyle w:val="Heading1Char"/>
          <w:b w:val="0"/>
          <w:bCs w:val="0"/>
        </w:rPr>
      </w:pPr>
      <w:r>
        <w:rPr>
          <w:rStyle w:val="Heading1Char"/>
          <w:b w:val="0"/>
          <w:bCs w:val="0"/>
        </w:rPr>
        <w:fldChar w:fldCharType="begin"/>
      </w:r>
      <w:r>
        <w:rPr>
          <w:rStyle w:val="Heading1Char"/>
          <w:b w:val="0"/>
          <w:bCs w:val="0"/>
        </w:rPr>
        <w:instrText xml:space="preserve"> TITLE  \* Upper  \* MERGEFORMAT </w:instrText>
      </w:r>
      <w:r>
        <w:rPr>
          <w:rStyle w:val="Heading1Char"/>
          <w:b w:val="0"/>
          <w:bCs w:val="0"/>
        </w:rPr>
        <w:fldChar w:fldCharType="separate"/>
      </w:r>
      <w:r w:rsidR="0043311E">
        <w:rPr>
          <w:rStyle w:val="Heading1Char"/>
          <w:b w:val="0"/>
          <w:bCs w:val="0"/>
        </w:rPr>
        <w:t>AUSNET GAS ACCESS ARRANGEMENT REVIEW 2023-28</w:t>
      </w:r>
      <w:r w:rsidR="004E43F0">
        <w:rPr>
          <w:rStyle w:val="Heading1Char"/>
          <w:b w:val="0"/>
          <w:bCs w:val="0"/>
        </w:rPr>
        <w:t xml:space="preserve"> </w:t>
      </w:r>
      <w:r w:rsidR="00FA0829">
        <w:rPr>
          <w:rStyle w:val="Heading1Char"/>
          <w:b w:val="0"/>
          <w:bCs w:val="0"/>
        </w:rPr>
        <w:t xml:space="preserve"> </w:t>
      </w:r>
      <w:r>
        <w:rPr>
          <w:rStyle w:val="Heading1Char"/>
          <w:b w:val="0"/>
          <w:bCs w:val="0"/>
        </w:rPr>
        <w:fldChar w:fldCharType="end"/>
      </w:r>
    </w:p>
    <w:p w14:paraId="711D7C4E" w14:textId="5E0DBC3D" w:rsidR="00DB4CA3" w:rsidRDefault="006377BF" w:rsidP="000F6946">
      <w:pPr>
        <w:pStyle w:val="Heading2"/>
        <w:rPr>
          <w:color w:val="79BD9A" w:themeColor="accent2"/>
        </w:rPr>
      </w:pPr>
      <w:r>
        <w:rPr>
          <w:color w:val="79BD9A" w:themeColor="accent2"/>
        </w:rPr>
        <w:fldChar w:fldCharType="begin"/>
      </w:r>
      <w:r>
        <w:rPr>
          <w:color w:val="79BD9A" w:themeColor="accent2"/>
        </w:rPr>
        <w:instrText xml:space="preserve"> COMMENTS  \* Upper  \* MERGEFORMAT </w:instrText>
      </w:r>
      <w:r>
        <w:rPr>
          <w:color w:val="79BD9A" w:themeColor="accent2"/>
        </w:rPr>
        <w:fldChar w:fldCharType="separate"/>
      </w:r>
      <w:r w:rsidR="0043311E">
        <w:rPr>
          <w:color w:val="79BD9A" w:themeColor="accent2"/>
        </w:rPr>
        <w:t>29</w:t>
      </w:r>
      <w:r w:rsidR="00FA0829">
        <w:rPr>
          <w:color w:val="79BD9A" w:themeColor="accent2"/>
        </w:rPr>
        <w:t xml:space="preserve"> </w:t>
      </w:r>
      <w:r w:rsidR="00C6298B">
        <w:rPr>
          <w:color w:val="79BD9A" w:themeColor="accent2"/>
        </w:rPr>
        <w:t>NOVEMBER</w:t>
      </w:r>
      <w:r w:rsidR="00AD30AE">
        <w:rPr>
          <w:color w:val="79BD9A" w:themeColor="accent2"/>
        </w:rPr>
        <w:t xml:space="preserve"> 2024</w:t>
      </w:r>
      <w:r>
        <w:rPr>
          <w:color w:val="79BD9A" w:themeColor="accent2"/>
        </w:rPr>
        <w:fldChar w:fldCharType="end"/>
      </w:r>
    </w:p>
    <w:p w14:paraId="4C1C3F70" w14:textId="77777777" w:rsidR="000F6946" w:rsidRPr="000F6946" w:rsidRDefault="000F6946" w:rsidP="000F6946"/>
    <w:p w14:paraId="71B33EA4" w14:textId="77777777" w:rsidR="006A6820" w:rsidRPr="006A6820" w:rsidRDefault="006A6820" w:rsidP="006A6820"/>
    <w:p w14:paraId="0477154A" w14:textId="77777777" w:rsidR="006A6820" w:rsidRDefault="006A6820" w:rsidP="006A6820">
      <w:pPr>
        <w:autoSpaceDE w:val="0"/>
        <w:autoSpaceDN w:val="0"/>
        <w:adjustRightInd w:val="0"/>
        <w:spacing w:line="276" w:lineRule="auto"/>
        <w:rPr>
          <w:rFonts w:eastAsia="Times New Roman" w:cstheme="minorHAnsi"/>
          <w:lang w:val="en-US"/>
        </w:rPr>
      </w:pPr>
      <w:r w:rsidRPr="006A6820">
        <w:rPr>
          <w:rFonts w:cstheme="minorHAnsi"/>
        </w:rPr>
        <w:t xml:space="preserve">The Energy Users’ Association of Australia (EUAA) is the peak body representing Australian commercial and industrial energy users. Our membership covers a broad cross section of the Australian economy including significant retail, manufacturing, building materials and food processing industries. </w:t>
      </w:r>
      <w:r w:rsidRPr="006A6820">
        <w:rPr>
          <w:rFonts w:eastAsia="Times New Roman" w:cstheme="minorHAnsi"/>
          <w:lang w:val="en-US"/>
        </w:rPr>
        <w:t xml:space="preserve">Combined our members employ over 1 million Australians, pay billions in energy bills every year and in many cases are exposed to the fluctuations and challenges of international trade. </w:t>
      </w:r>
    </w:p>
    <w:p w14:paraId="5E4EB1E4" w14:textId="77777777" w:rsidR="006A6820" w:rsidRPr="006A6820" w:rsidRDefault="006A6820" w:rsidP="006A6820">
      <w:pPr>
        <w:autoSpaceDE w:val="0"/>
        <w:autoSpaceDN w:val="0"/>
        <w:adjustRightInd w:val="0"/>
        <w:spacing w:line="276" w:lineRule="auto"/>
        <w:rPr>
          <w:rFonts w:eastAsia="Times New Roman" w:cstheme="minorHAnsi"/>
          <w:lang w:val="en-US"/>
        </w:rPr>
      </w:pPr>
    </w:p>
    <w:p w14:paraId="67786729" w14:textId="77777777" w:rsidR="006A6820" w:rsidRDefault="006A6820" w:rsidP="006A6820">
      <w:pPr>
        <w:autoSpaceDE w:val="0"/>
        <w:autoSpaceDN w:val="0"/>
        <w:adjustRightInd w:val="0"/>
        <w:spacing w:line="276" w:lineRule="auto"/>
        <w:rPr>
          <w:rFonts w:eastAsia="Times New Roman" w:cstheme="minorHAnsi"/>
          <w:lang w:val="en-US"/>
        </w:rPr>
      </w:pPr>
      <w:r w:rsidRPr="006A6820">
        <w:rPr>
          <w:rFonts w:eastAsia="Times New Roman" w:cstheme="minorHAnsi"/>
          <w:lang w:val="en-US"/>
        </w:rPr>
        <w:t xml:space="preserve">We appreciate the opportunity to provide this submission on </w:t>
      </w:r>
      <w:proofErr w:type="spellStart"/>
      <w:r w:rsidRPr="006A6820">
        <w:rPr>
          <w:rFonts w:eastAsia="Times New Roman" w:cstheme="minorHAnsi"/>
          <w:lang w:val="en-US"/>
        </w:rPr>
        <w:t>AusNet</w:t>
      </w:r>
      <w:proofErr w:type="spellEnd"/>
      <w:r w:rsidRPr="006A6820">
        <w:rPr>
          <w:rFonts w:eastAsia="Times New Roman" w:cstheme="minorHAnsi"/>
          <w:lang w:val="en-US"/>
        </w:rPr>
        <w:t xml:space="preserve"> Services Variation Proposal to its 2023-28 Access Arrangement (AA) for its Victorian gas distribution network.  </w:t>
      </w:r>
    </w:p>
    <w:p w14:paraId="0DD7E2C8" w14:textId="77777777" w:rsidR="001B58E3" w:rsidRPr="006A6820" w:rsidRDefault="001B58E3" w:rsidP="006A6820">
      <w:pPr>
        <w:autoSpaceDE w:val="0"/>
        <w:autoSpaceDN w:val="0"/>
        <w:adjustRightInd w:val="0"/>
        <w:spacing w:line="276" w:lineRule="auto"/>
        <w:rPr>
          <w:rFonts w:eastAsia="Times New Roman" w:cstheme="minorHAnsi"/>
          <w:lang w:val="en-US"/>
        </w:rPr>
      </w:pPr>
    </w:p>
    <w:p w14:paraId="111A8157" w14:textId="55837824" w:rsidR="006A6820" w:rsidRDefault="006A6820" w:rsidP="006A6820">
      <w:pPr>
        <w:autoSpaceDE w:val="0"/>
        <w:autoSpaceDN w:val="0"/>
        <w:adjustRightInd w:val="0"/>
        <w:spacing w:line="276" w:lineRule="auto"/>
      </w:pPr>
      <w:r w:rsidRPr="006A6820">
        <w:rPr>
          <w:rFonts w:eastAsia="Times New Roman" w:cstheme="minorHAnsi"/>
          <w:lang w:val="en-US"/>
        </w:rPr>
        <w:t xml:space="preserve">The EUAA was deeply involved in all stages of the original </w:t>
      </w:r>
      <w:proofErr w:type="spellStart"/>
      <w:r w:rsidRPr="006A6820">
        <w:rPr>
          <w:rFonts w:eastAsia="Times New Roman" w:cstheme="minorHAnsi"/>
          <w:lang w:val="en-US"/>
        </w:rPr>
        <w:t>AusNet</w:t>
      </w:r>
      <w:proofErr w:type="spellEnd"/>
      <w:r w:rsidRPr="006A6820">
        <w:rPr>
          <w:rFonts w:eastAsia="Times New Roman" w:cstheme="minorHAnsi"/>
          <w:lang w:val="en-US"/>
        </w:rPr>
        <w:t xml:space="preserve"> Services access arrangement f</w:t>
      </w:r>
      <w:r w:rsidRPr="006A6820">
        <w:t xml:space="preserve">or 2023-28 – </w:t>
      </w:r>
      <w:r w:rsidR="00CE56BF">
        <w:t xml:space="preserve">we were </w:t>
      </w:r>
      <w:r w:rsidRPr="006A6820">
        <w:t xml:space="preserve">a member of the Expert Co-design Panel working with the three Victorian networks to develop a range of scenarios for a ‘Future of Gas’ models, </w:t>
      </w:r>
      <w:r w:rsidR="00315C6B">
        <w:t>we were a member</w:t>
      </w:r>
      <w:r w:rsidRPr="006A6820">
        <w:t xml:space="preserve"> of the Victorian Gas Network Stakeholder Roundtable (VGNSR),</w:t>
      </w:r>
      <w:r w:rsidR="00315C6B">
        <w:t xml:space="preserve"> we</w:t>
      </w:r>
      <w:r w:rsidRPr="006A6820">
        <w:t xml:space="preserve"> engage</w:t>
      </w:r>
      <w:r w:rsidR="00315C6B">
        <w:t>d</w:t>
      </w:r>
      <w:r w:rsidRPr="006A6820">
        <w:t xml:space="preserve"> on the issues with our members and </w:t>
      </w:r>
      <w:r w:rsidR="00315C6B">
        <w:t xml:space="preserve">made </w:t>
      </w:r>
      <w:r w:rsidRPr="006A6820">
        <w:t xml:space="preserve">submissions on the network proposals at the Draft Plan, Proposal and Revised Proposal stages. </w:t>
      </w:r>
    </w:p>
    <w:p w14:paraId="2E12F0E9" w14:textId="77777777" w:rsidR="001B58E3" w:rsidRPr="006A6820" w:rsidRDefault="001B58E3" w:rsidP="006A6820">
      <w:pPr>
        <w:autoSpaceDE w:val="0"/>
        <w:autoSpaceDN w:val="0"/>
        <w:adjustRightInd w:val="0"/>
        <w:spacing w:line="276" w:lineRule="auto"/>
      </w:pPr>
    </w:p>
    <w:p w14:paraId="40E09A3B" w14:textId="77777777" w:rsidR="006A6820" w:rsidRDefault="006A6820" w:rsidP="006A6820">
      <w:pPr>
        <w:autoSpaceDE w:val="0"/>
        <w:autoSpaceDN w:val="0"/>
        <w:adjustRightInd w:val="0"/>
        <w:spacing w:line="276" w:lineRule="auto"/>
      </w:pPr>
      <w:r w:rsidRPr="006A6820">
        <w:t xml:space="preserve">In these submissions we expressed our acceptance of the principle of the ‘regulatory contract’. We defined that as the implicit contract between the network, its consumers and the regulator that means once the regulator has made their decision on the network’s spending proposal, consumers commit to pay an efficient price cap that provides the network with recovery of its capital plus a rate of return on that capital commensurate with the risk allocation between the network and its consumers. This rate of return is set based on the assumption that consumers accept demand risk i.e. networks have no stranded asset risk. The network expects to get return of and on its capital over the regulated depreciation term. </w:t>
      </w:r>
    </w:p>
    <w:p w14:paraId="18935BDE" w14:textId="77777777" w:rsidR="001B58E3" w:rsidRPr="006A6820" w:rsidRDefault="001B58E3" w:rsidP="006A6820">
      <w:pPr>
        <w:autoSpaceDE w:val="0"/>
        <w:autoSpaceDN w:val="0"/>
        <w:adjustRightInd w:val="0"/>
        <w:spacing w:line="276" w:lineRule="auto"/>
      </w:pPr>
    </w:p>
    <w:p w14:paraId="0389A90C" w14:textId="4932DBA6" w:rsidR="006A6820" w:rsidRPr="006A6820" w:rsidRDefault="006A6820" w:rsidP="006A6820">
      <w:pPr>
        <w:autoSpaceDE w:val="0"/>
        <w:autoSpaceDN w:val="0"/>
        <w:adjustRightInd w:val="0"/>
        <w:spacing w:line="276" w:lineRule="auto"/>
      </w:pPr>
      <w:r w:rsidRPr="006A6820">
        <w:t>We believe that where there is the risk of stranded assets then the approval of a level of accelerated depreciation (AD) is an appropriate policy response for the AER. It is</w:t>
      </w:r>
      <w:r w:rsidR="00315C6B">
        <w:t xml:space="preserve"> an </w:t>
      </w:r>
      <w:r w:rsidRPr="006A6820">
        <w:t>appropriate method of achieving some level of intergenerational equity for all gas network consumers – what AusNet refers to as ‘prudence of early action’ (p.27).</w:t>
      </w:r>
    </w:p>
    <w:p w14:paraId="32B7184A" w14:textId="77777777" w:rsidR="00E21D96" w:rsidRDefault="00E21D96" w:rsidP="006A6820">
      <w:pPr>
        <w:autoSpaceDE w:val="0"/>
        <w:autoSpaceDN w:val="0"/>
        <w:adjustRightInd w:val="0"/>
        <w:spacing w:line="276" w:lineRule="auto"/>
      </w:pPr>
    </w:p>
    <w:p w14:paraId="5326DC25" w14:textId="320CDE40" w:rsidR="006A6820" w:rsidRDefault="006A6820" w:rsidP="006A6820">
      <w:pPr>
        <w:autoSpaceDE w:val="0"/>
        <w:autoSpaceDN w:val="0"/>
        <w:adjustRightInd w:val="0"/>
        <w:spacing w:line="276" w:lineRule="auto"/>
      </w:pPr>
      <w:r w:rsidRPr="006A6820">
        <w:t xml:space="preserve">We were pleased to see the AER’s Final Decision in June 2023 for AusNet approving some accelerated depreciation in 2023-28, though at a level below AusNet’s request and below that approved for the other Victorian gas networks. These decisions were based on the Victorian Government policy at the time of the decision. We were pleased to see the AER deciding that more recent Government policy changes (see p. 7 of the proposal) have resulted in the AER agreeing that the variation proposal is material.  </w:t>
      </w:r>
    </w:p>
    <w:p w14:paraId="7C20459D" w14:textId="77777777" w:rsidR="001B58E3" w:rsidRPr="006A6820" w:rsidRDefault="001B58E3" w:rsidP="006A6820">
      <w:pPr>
        <w:autoSpaceDE w:val="0"/>
        <w:autoSpaceDN w:val="0"/>
        <w:adjustRightInd w:val="0"/>
        <w:spacing w:line="276" w:lineRule="auto"/>
      </w:pPr>
    </w:p>
    <w:p w14:paraId="14D8466B" w14:textId="77777777" w:rsidR="006A6820" w:rsidRDefault="006A6820" w:rsidP="006A6820">
      <w:pPr>
        <w:autoSpaceDE w:val="0"/>
        <w:autoSpaceDN w:val="0"/>
        <w:adjustRightInd w:val="0"/>
        <w:spacing w:line="276" w:lineRule="auto"/>
      </w:pPr>
      <w:r w:rsidRPr="006A6820">
        <w:t xml:space="preserve">This has led to AusNet Services undertaking further engagement with stakeholders on the parameters of what a variation in the AA might include to reflect these material changes. The EUAA has been actively involved in all aspects of this engagement process as a member of the AusNet Gas Roundtable and we attended all Roundtable meetings as well as arranging for AusNet to present to the EUAA Gas Committee. </w:t>
      </w:r>
    </w:p>
    <w:p w14:paraId="1CE2F6F2" w14:textId="77777777" w:rsidR="001B58E3" w:rsidRPr="006A6820" w:rsidRDefault="001B58E3" w:rsidP="006A6820">
      <w:pPr>
        <w:autoSpaceDE w:val="0"/>
        <w:autoSpaceDN w:val="0"/>
        <w:adjustRightInd w:val="0"/>
        <w:spacing w:line="276" w:lineRule="auto"/>
      </w:pPr>
    </w:p>
    <w:p w14:paraId="48123B95" w14:textId="77777777" w:rsidR="006A6820" w:rsidRDefault="006A6820" w:rsidP="006A6820">
      <w:pPr>
        <w:autoSpaceDE w:val="0"/>
        <w:autoSpaceDN w:val="0"/>
        <w:adjustRightInd w:val="0"/>
        <w:spacing w:line="276" w:lineRule="auto"/>
      </w:pPr>
      <w:r w:rsidRPr="006A6820">
        <w:lastRenderedPageBreak/>
        <w:t>AusNet has conducted a high quality and sincere engagement process that exhibits both breadth and depth and clearly evidenced impact as expected under the Better Resets Handbook. We have had comprehensive presentations and discussions on:</w:t>
      </w:r>
    </w:p>
    <w:p w14:paraId="696AB80B" w14:textId="77777777" w:rsidR="001B58E3" w:rsidRPr="006A6820" w:rsidRDefault="001B58E3" w:rsidP="006A6820">
      <w:pPr>
        <w:autoSpaceDE w:val="0"/>
        <w:autoSpaceDN w:val="0"/>
        <w:adjustRightInd w:val="0"/>
        <w:spacing w:line="276" w:lineRule="auto"/>
      </w:pPr>
    </w:p>
    <w:p w14:paraId="7E848C41" w14:textId="77777777" w:rsidR="006A6820" w:rsidRPr="006A6820" w:rsidRDefault="006A6820" w:rsidP="006A6820">
      <w:pPr>
        <w:pStyle w:val="ListParagraph"/>
        <w:numPr>
          <w:ilvl w:val="0"/>
          <w:numId w:val="37"/>
        </w:numPr>
        <w:autoSpaceDE w:val="0"/>
        <w:autoSpaceDN w:val="0"/>
        <w:adjustRightInd w:val="0"/>
        <w:spacing w:after="160" w:line="276" w:lineRule="auto"/>
        <w:rPr>
          <w:sz w:val="22"/>
          <w:szCs w:val="22"/>
        </w:rPr>
      </w:pPr>
      <w:r w:rsidRPr="006A6820">
        <w:rPr>
          <w:sz w:val="22"/>
          <w:szCs w:val="22"/>
        </w:rPr>
        <w:t>The Government’s policy changes</w:t>
      </w:r>
    </w:p>
    <w:p w14:paraId="3E05A49B" w14:textId="77777777" w:rsidR="006A6820" w:rsidRPr="006A6820" w:rsidRDefault="006A6820" w:rsidP="006A6820">
      <w:pPr>
        <w:pStyle w:val="ListParagraph"/>
        <w:numPr>
          <w:ilvl w:val="0"/>
          <w:numId w:val="37"/>
        </w:numPr>
        <w:autoSpaceDE w:val="0"/>
        <w:autoSpaceDN w:val="0"/>
        <w:adjustRightInd w:val="0"/>
        <w:spacing w:after="160" w:line="276" w:lineRule="auto"/>
        <w:rPr>
          <w:sz w:val="22"/>
          <w:szCs w:val="22"/>
        </w:rPr>
      </w:pPr>
      <w:r w:rsidRPr="006A6820">
        <w:rPr>
          <w:sz w:val="22"/>
          <w:szCs w:val="22"/>
        </w:rPr>
        <w:t xml:space="preserve">What they could mean for new customer connections and existing customer demand – how customers whether small or large will respond  </w:t>
      </w:r>
    </w:p>
    <w:p w14:paraId="7988A60C" w14:textId="77777777" w:rsidR="006A6820" w:rsidRPr="006A6820" w:rsidRDefault="006A6820" w:rsidP="006A6820">
      <w:pPr>
        <w:pStyle w:val="ListParagraph"/>
        <w:numPr>
          <w:ilvl w:val="0"/>
          <w:numId w:val="37"/>
        </w:numPr>
        <w:autoSpaceDE w:val="0"/>
        <w:autoSpaceDN w:val="0"/>
        <w:adjustRightInd w:val="0"/>
        <w:spacing w:after="160" w:line="276" w:lineRule="auto"/>
        <w:rPr>
          <w:sz w:val="22"/>
          <w:szCs w:val="22"/>
        </w:rPr>
      </w:pPr>
      <w:r w:rsidRPr="006A6820">
        <w:rPr>
          <w:sz w:val="22"/>
          <w:szCs w:val="22"/>
        </w:rPr>
        <w:t xml:space="preserve">What that fall in connections and demand mean for previously approved </w:t>
      </w:r>
      <w:proofErr w:type="spellStart"/>
      <w:r w:rsidRPr="006A6820">
        <w:rPr>
          <w:sz w:val="22"/>
          <w:szCs w:val="22"/>
        </w:rPr>
        <w:t>opex</w:t>
      </w:r>
      <w:proofErr w:type="spellEnd"/>
      <w:r w:rsidRPr="006A6820">
        <w:rPr>
          <w:sz w:val="22"/>
          <w:szCs w:val="22"/>
        </w:rPr>
        <w:t xml:space="preserve"> and capex</w:t>
      </w:r>
    </w:p>
    <w:p w14:paraId="0A570F1A" w14:textId="77777777" w:rsidR="006A6820" w:rsidRPr="006A6820" w:rsidRDefault="006A6820" w:rsidP="006A6820">
      <w:pPr>
        <w:pStyle w:val="ListParagraph"/>
        <w:numPr>
          <w:ilvl w:val="0"/>
          <w:numId w:val="37"/>
        </w:numPr>
        <w:autoSpaceDE w:val="0"/>
        <w:autoSpaceDN w:val="0"/>
        <w:adjustRightInd w:val="0"/>
        <w:spacing w:after="160" w:line="276" w:lineRule="auto"/>
        <w:rPr>
          <w:sz w:val="22"/>
          <w:szCs w:val="22"/>
        </w:rPr>
      </w:pPr>
      <w:r w:rsidRPr="006A6820">
        <w:rPr>
          <w:sz w:val="22"/>
          <w:szCs w:val="22"/>
        </w:rPr>
        <w:t>The appropriate level of AD</w:t>
      </w:r>
    </w:p>
    <w:p w14:paraId="48EB0BC5" w14:textId="77777777" w:rsidR="006A6820" w:rsidRPr="006A6820" w:rsidRDefault="006A6820" w:rsidP="006A6820">
      <w:pPr>
        <w:pStyle w:val="ListParagraph"/>
        <w:numPr>
          <w:ilvl w:val="0"/>
          <w:numId w:val="37"/>
        </w:numPr>
        <w:autoSpaceDE w:val="0"/>
        <w:autoSpaceDN w:val="0"/>
        <w:adjustRightInd w:val="0"/>
        <w:spacing w:after="160" w:line="276" w:lineRule="auto"/>
        <w:rPr>
          <w:sz w:val="22"/>
          <w:szCs w:val="22"/>
        </w:rPr>
      </w:pPr>
      <w:r w:rsidRPr="006A6820">
        <w:rPr>
          <w:sz w:val="22"/>
          <w:szCs w:val="22"/>
        </w:rPr>
        <w:t xml:space="preserve">What all that means to tariffs  </w:t>
      </w:r>
    </w:p>
    <w:p w14:paraId="7C2F6EA9" w14:textId="77777777" w:rsidR="006A6820" w:rsidRDefault="006A6820" w:rsidP="006A6820">
      <w:pPr>
        <w:autoSpaceDE w:val="0"/>
        <w:autoSpaceDN w:val="0"/>
        <w:adjustRightInd w:val="0"/>
        <w:spacing w:line="276" w:lineRule="auto"/>
      </w:pPr>
      <w:r w:rsidRPr="006A6820">
        <w:t xml:space="preserve">The changes in Government policy present significant challenges to gas network owners. They have an obligation to provide gas services safely, prudently and efficiently. This must be achieved while balancing the affordability concerns of both customers today who have the option to reduce demand and/or disconnect and customers who will be connected in the long term because they are in hard to abate sectors or do not have the financial means to electrify. We have members in all categories. </w:t>
      </w:r>
    </w:p>
    <w:p w14:paraId="5F426092" w14:textId="77777777" w:rsidR="0043311E" w:rsidRPr="006A6820" w:rsidRDefault="0043311E" w:rsidP="006A6820">
      <w:pPr>
        <w:autoSpaceDE w:val="0"/>
        <w:autoSpaceDN w:val="0"/>
        <w:adjustRightInd w:val="0"/>
        <w:spacing w:line="276" w:lineRule="auto"/>
      </w:pPr>
    </w:p>
    <w:p w14:paraId="42B55164" w14:textId="77777777" w:rsidR="006A6820" w:rsidRDefault="006A6820" w:rsidP="006A6820">
      <w:pPr>
        <w:autoSpaceDE w:val="0"/>
        <w:autoSpaceDN w:val="0"/>
        <w:adjustRightInd w:val="0"/>
        <w:spacing w:line="276" w:lineRule="auto"/>
      </w:pPr>
      <w:r w:rsidRPr="006A6820">
        <w:t xml:space="preserve">Those that can electrify may support lower AD as they have the option to leave the gas network during 2023-28 and they wish to limit their gas network price rise while they are still on the network. Those that are hard to abate may support higher AD because they want those consumers (small and large) who are likely to leave the network in 2023-28 to make some contribution to the historical costs of their supply before they depart the network.   </w:t>
      </w:r>
    </w:p>
    <w:p w14:paraId="6D3A828E" w14:textId="77777777" w:rsidR="0043311E" w:rsidRPr="006A6820" w:rsidRDefault="0043311E" w:rsidP="006A6820">
      <w:pPr>
        <w:autoSpaceDE w:val="0"/>
        <w:autoSpaceDN w:val="0"/>
        <w:adjustRightInd w:val="0"/>
        <w:spacing w:line="276" w:lineRule="auto"/>
      </w:pPr>
    </w:p>
    <w:p w14:paraId="410036E1" w14:textId="77777777" w:rsidR="006A6820" w:rsidRDefault="006A6820" w:rsidP="006A6820">
      <w:pPr>
        <w:autoSpaceDE w:val="0"/>
        <w:autoSpaceDN w:val="0"/>
        <w:adjustRightInd w:val="0"/>
        <w:spacing w:line="276" w:lineRule="auto"/>
      </w:pPr>
      <w:r w:rsidRPr="006A6820">
        <w:t>So, the choice of the level of AD is a judgement call – there are ‘winners’ and ‘</w:t>
      </w:r>
      <w:proofErr w:type="gramStart"/>
      <w:r w:rsidRPr="006A6820">
        <w:t>losers’</w:t>
      </w:r>
      <w:proofErr w:type="gramEnd"/>
      <w:r w:rsidRPr="006A6820">
        <w:t xml:space="preserve">. On balance we see AusNet’s Variation Proposal as an equitable approach and so we support: </w:t>
      </w:r>
    </w:p>
    <w:p w14:paraId="1E07ECC6" w14:textId="77777777" w:rsidR="0043311E" w:rsidRPr="006A6820" w:rsidRDefault="0043311E" w:rsidP="006A6820">
      <w:pPr>
        <w:autoSpaceDE w:val="0"/>
        <w:autoSpaceDN w:val="0"/>
        <w:adjustRightInd w:val="0"/>
        <w:spacing w:line="276" w:lineRule="auto"/>
      </w:pPr>
    </w:p>
    <w:p w14:paraId="40462F81" w14:textId="77777777" w:rsidR="006A6820" w:rsidRPr="006A6820" w:rsidRDefault="006A6820" w:rsidP="006A6820">
      <w:pPr>
        <w:pStyle w:val="ListParagraph"/>
        <w:numPr>
          <w:ilvl w:val="0"/>
          <w:numId w:val="38"/>
        </w:numPr>
        <w:autoSpaceDE w:val="0"/>
        <w:autoSpaceDN w:val="0"/>
        <w:adjustRightInd w:val="0"/>
        <w:spacing w:after="160" w:line="276" w:lineRule="auto"/>
        <w:rPr>
          <w:sz w:val="22"/>
          <w:szCs w:val="22"/>
        </w:rPr>
      </w:pPr>
      <w:r w:rsidRPr="006A6820">
        <w:rPr>
          <w:sz w:val="22"/>
          <w:szCs w:val="22"/>
        </w:rPr>
        <w:t>Accelerated depreciation of $175m is an appropriate balance to recognise intergenerational equity issues</w:t>
      </w:r>
    </w:p>
    <w:p w14:paraId="5F993291" w14:textId="77777777" w:rsidR="006A6820" w:rsidRPr="006A6820" w:rsidRDefault="006A6820" w:rsidP="006A6820">
      <w:pPr>
        <w:pStyle w:val="ListParagraph"/>
        <w:numPr>
          <w:ilvl w:val="0"/>
          <w:numId w:val="38"/>
        </w:numPr>
        <w:autoSpaceDE w:val="0"/>
        <w:autoSpaceDN w:val="0"/>
        <w:adjustRightInd w:val="0"/>
        <w:spacing w:after="160" w:line="276" w:lineRule="auto"/>
        <w:rPr>
          <w:sz w:val="22"/>
          <w:szCs w:val="22"/>
        </w:rPr>
      </w:pPr>
      <w:r w:rsidRPr="006A6820">
        <w:rPr>
          <w:sz w:val="22"/>
          <w:szCs w:val="22"/>
        </w:rPr>
        <w:t xml:space="preserve">Lower customer numbers and demand – we leave the AER to assess to proposed reduction in each   </w:t>
      </w:r>
    </w:p>
    <w:p w14:paraId="1335C230" w14:textId="77777777" w:rsidR="006A6820" w:rsidRPr="006A6820" w:rsidRDefault="006A6820" w:rsidP="006A6820">
      <w:pPr>
        <w:pStyle w:val="ListParagraph"/>
        <w:numPr>
          <w:ilvl w:val="0"/>
          <w:numId w:val="38"/>
        </w:numPr>
        <w:autoSpaceDE w:val="0"/>
        <w:autoSpaceDN w:val="0"/>
        <w:adjustRightInd w:val="0"/>
        <w:spacing w:after="160" w:line="276" w:lineRule="auto"/>
        <w:rPr>
          <w:sz w:val="22"/>
          <w:szCs w:val="22"/>
        </w:rPr>
      </w:pPr>
      <w:r w:rsidRPr="006A6820">
        <w:rPr>
          <w:sz w:val="22"/>
          <w:szCs w:val="22"/>
        </w:rPr>
        <w:t>Reduced capex given the lower connections forecast and lower augmentation capex – we leave the AER to assess whether the revised capex is prudent and efficient</w:t>
      </w:r>
    </w:p>
    <w:p w14:paraId="1067794B" w14:textId="77777777" w:rsidR="006A6820" w:rsidRPr="006A6820" w:rsidRDefault="006A6820" w:rsidP="006A6820">
      <w:pPr>
        <w:pStyle w:val="ListParagraph"/>
        <w:numPr>
          <w:ilvl w:val="0"/>
          <w:numId w:val="38"/>
        </w:numPr>
        <w:autoSpaceDE w:val="0"/>
        <w:autoSpaceDN w:val="0"/>
        <w:adjustRightInd w:val="0"/>
        <w:spacing w:after="160" w:line="276" w:lineRule="auto"/>
        <w:rPr>
          <w:sz w:val="22"/>
          <w:szCs w:val="22"/>
        </w:rPr>
      </w:pPr>
      <w:r w:rsidRPr="006A6820">
        <w:rPr>
          <w:sz w:val="22"/>
          <w:szCs w:val="22"/>
        </w:rPr>
        <w:t xml:space="preserve">Increased </w:t>
      </w:r>
      <w:proofErr w:type="spellStart"/>
      <w:r w:rsidRPr="006A6820">
        <w:rPr>
          <w:sz w:val="22"/>
          <w:szCs w:val="22"/>
        </w:rPr>
        <w:t>opex</w:t>
      </w:r>
      <w:proofErr w:type="spellEnd"/>
      <w:r w:rsidRPr="006A6820">
        <w:rPr>
          <w:sz w:val="22"/>
          <w:szCs w:val="22"/>
        </w:rPr>
        <w:t xml:space="preserve"> – mostly due to higher ESV levies and impact of higher volume of subsidised abolishment</w:t>
      </w:r>
    </w:p>
    <w:p w14:paraId="6CA4DB28" w14:textId="77777777" w:rsidR="006A6820" w:rsidRPr="006A6820" w:rsidRDefault="006A6820" w:rsidP="006A6820">
      <w:pPr>
        <w:pStyle w:val="ListParagraph"/>
        <w:numPr>
          <w:ilvl w:val="0"/>
          <w:numId w:val="38"/>
        </w:numPr>
        <w:autoSpaceDE w:val="0"/>
        <w:autoSpaceDN w:val="0"/>
        <w:adjustRightInd w:val="0"/>
        <w:spacing w:after="160" w:line="276" w:lineRule="auto"/>
        <w:rPr>
          <w:sz w:val="22"/>
          <w:szCs w:val="22"/>
        </w:rPr>
      </w:pPr>
      <w:r w:rsidRPr="006A6820">
        <w:rPr>
          <w:sz w:val="22"/>
          <w:szCs w:val="22"/>
        </w:rPr>
        <w:t xml:space="preserve">Resulting tariffs that balance short term price impacts with long term customer protections and maintain competitive pricing.      </w:t>
      </w:r>
    </w:p>
    <w:p w14:paraId="446B5030" w14:textId="77777777" w:rsidR="00703017" w:rsidRDefault="00703017" w:rsidP="00C15E9E"/>
    <w:p w14:paraId="6E88C068" w14:textId="77777777" w:rsidR="004B4280" w:rsidRPr="001A7189" w:rsidRDefault="004B4280" w:rsidP="009239C5">
      <w:pPr>
        <w:spacing w:line="276" w:lineRule="auto"/>
      </w:pPr>
      <w:r w:rsidRPr="001A7189">
        <w:t>Do not hesitate to be in contact should you have any questions.</w:t>
      </w:r>
    </w:p>
    <w:p w14:paraId="0F4A45A7" w14:textId="77777777" w:rsidR="004B4280" w:rsidRPr="00DD462C" w:rsidRDefault="004B4280" w:rsidP="00DD462C">
      <w:pPr>
        <w:spacing w:line="276" w:lineRule="auto"/>
        <w:rPr>
          <w:color w:val="3B8686" w:themeColor="accent1"/>
        </w:rPr>
      </w:pPr>
    </w:p>
    <w:p w14:paraId="63BDCF70" w14:textId="126039F5" w:rsidR="004B4280" w:rsidRPr="00DD462C" w:rsidRDefault="004B4280" w:rsidP="00DD462C">
      <w:pPr>
        <w:spacing w:after="160" w:line="276" w:lineRule="auto"/>
      </w:pPr>
      <w:r w:rsidRPr="00DD462C">
        <w:t xml:space="preserve"> </w:t>
      </w:r>
      <w:r w:rsidRPr="00DD462C">
        <w:rPr>
          <w:noProof/>
        </w:rPr>
        <w:drawing>
          <wp:inline distT="0" distB="0" distL="0" distR="0" wp14:anchorId="0498CF18" wp14:editId="754D7DFE">
            <wp:extent cx="1247775" cy="52836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6343" cy="548930"/>
                    </a:xfrm>
                    <a:prstGeom prst="rect">
                      <a:avLst/>
                    </a:prstGeom>
                    <a:noFill/>
                    <a:ln>
                      <a:noFill/>
                    </a:ln>
                  </pic:spPr>
                </pic:pic>
              </a:graphicData>
            </a:graphic>
          </wp:inline>
        </w:drawing>
      </w:r>
    </w:p>
    <w:p w14:paraId="03CBE737" w14:textId="77777777" w:rsidR="004B4280" w:rsidRPr="00DD462C" w:rsidRDefault="004B4280" w:rsidP="00DD462C">
      <w:pPr>
        <w:spacing w:line="276" w:lineRule="auto"/>
      </w:pPr>
    </w:p>
    <w:p w14:paraId="4071CF32" w14:textId="77777777" w:rsidR="004B4280" w:rsidRPr="00DD462C" w:rsidRDefault="004B4280" w:rsidP="00DD462C">
      <w:pPr>
        <w:spacing w:line="276" w:lineRule="auto"/>
      </w:pPr>
      <w:r w:rsidRPr="00DD462C">
        <w:t>Andrew Richards</w:t>
      </w:r>
    </w:p>
    <w:p w14:paraId="52093044" w14:textId="0F7D5639" w:rsidR="00BB262A" w:rsidRPr="00300B14" w:rsidRDefault="004B4280" w:rsidP="00DD462C">
      <w:pPr>
        <w:spacing w:line="276" w:lineRule="auto"/>
      </w:pPr>
      <w:r w:rsidRPr="00DD462C">
        <w:t>Chief Executive Offic</w:t>
      </w:r>
      <w:r w:rsidRPr="00572727">
        <w:t>er</w:t>
      </w:r>
    </w:p>
    <w:sectPr w:rsidR="00BB262A" w:rsidRPr="00300B14" w:rsidSect="00994CF2">
      <w:headerReference w:type="even" r:id="rId12"/>
      <w:headerReference w:type="default" r:id="rId13"/>
      <w:footerReference w:type="even" r:id="rId14"/>
      <w:footerReference w:type="default" r:id="rId15"/>
      <w:headerReference w:type="first" r:id="rId16"/>
      <w:footerReference w:type="first" r:id="rId17"/>
      <w:pgSz w:w="11906" w:h="16838" w:code="9"/>
      <w:pgMar w:top="1560" w:right="680" w:bottom="1276" w:left="851" w:header="284" w:footer="4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C9CC7" w14:textId="77777777" w:rsidR="00507419" w:rsidRDefault="00507419" w:rsidP="00204536">
      <w:r>
        <w:separator/>
      </w:r>
    </w:p>
  </w:endnote>
  <w:endnote w:type="continuationSeparator" w:id="0">
    <w:p w14:paraId="2A5F4144" w14:textId="77777777" w:rsidR="00507419" w:rsidRDefault="00507419" w:rsidP="0020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EC1A8" w14:textId="77777777" w:rsidR="00734298" w:rsidRDefault="00734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0742A" w14:textId="4905F0D7" w:rsidR="00BF39AE" w:rsidRDefault="00BF39AE" w:rsidP="00BF39AE">
    <w:pPr>
      <w:pStyle w:val="Footer"/>
      <w:tabs>
        <w:tab w:val="clear" w:pos="4513"/>
        <w:tab w:val="clear" w:pos="9026"/>
        <w:tab w:val="right" w:pos="10348"/>
      </w:tabs>
      <w:rPr>
        <w:color w:val="0B486B" w:themeColor="text2"/>
        <w:sz w:val="16"/>
        <w:szCs w:val="16"/>
      </w:rPr>
    </w:pPr>
    <w:r>
      <w:rPr>
        <w:color w:val="0B486B" w:themeColor="text2"/>
        <w:sz w:val="16"/>
        <w:szCs w:val="16"/>
      </w:rPr>
      <w:t xml:space="preserve">EUAA SUBMISSION: </w:t>
    </w:r>
    <w:r w:rsidR="003856C0">
      <w:rPr>
        <w:color w:val="0B486B" w:themeColor="text2"/>
        <w:sz w:val="16"/>
        <w:szCs w:val="16"/>
      </w:rPr>
      <w:t>AUSNET GAS ACCESS ARRANGEMENT 2023-28</w:t>
    </w:r>
    <w:r w:rsidR="009A3521">
      <w:rPr>
        <w:color w:val="0B486B" w:themeColor="text2"/>
        <w:sz w:val="16"/>
        <w:szCs w:val="16"/>
      </w:rPr>
      <w:t xml:space="preserve"> </w:t>
    </w:r>
    <w:r>
      <w:rPr>
        <w:color w:val="0B486B" w:themeColor="text2"/>
        <w:sz w:val="16"/>
        <w:szCs w:val="16"/>
      </w:rPr>
      <w:t xml:space="preserve">| </w:t>
    </w:r>
    <w:r w:rsidR="00E21D96">
      <w:rPr>
        <w:color w:val="0B486B" w:themeColor="text2"/>
        <w:sz w:val="16"/>
        <w:szCs w:val="16"/>
      </w:rPr>
      <w:t>29</w:t>
    </w:r>
    <w:r>
      <w:rPr>
        <w:color w:val="0B486B" w:themeColor="text2"/>
        <w:sz w:val="16"/>
        <w:szCs w:val="16"/>
      </w:rPr>
      <w:t xml:space="preserve"> NOVEMBER 2024 </w:t>
    </w:r>
  </w:p>
  <w:p w14:paraId="6830C5FA" w14:textId="29FBF366" w:rsidR="00E71C8E" w:rsidRDefault="00BF39AE" w:rsidP="00BF39AE">
    <w:pPr>
      <w:pStyle w:val="Footer"/>
      <w:tabs>
        <w:tab w:val="clear" w:pos="4513"/>
        <w:tab w:val="clear" w:pos="9026"/>
        <w:tab w:val="right" w:pos="10348"/>
      </w:tabs>
      <w:rPr>
        <w:color w:val="0B486B" w:themeColor="text2"/>
        <w:sz w:val="16"/>
        <w:szCs w:val="16"/>
      </w:rPr>
    </w:pPr>
    <w:r w:rsidRPr="00CF7843">
      <w:rPr>
        <w:color w:val="0B486B" w:themeColor="text2"/>
        <w:sz w:val="16"/>
        <w:szCs w:val="16"/>
      </w:rPr>
      <w:tab/>
    </w:r>
    <w:r w:rsidR="00E71C8E">
      <w:rPr>
        <w:color w:val="0B486B" w:themeColor="text2"/>
        <w:sz w:val="16"/>
        <w:szCs w:val="16"/>
      </w:rPr>
      <w:fldChar w:fldCharType="begin"/>
    </w:r>
    <w:r w:rsidR="00E71C8E">
      <w:rPr>
        <w:color w:val="0B486B" w:themeColor="text2"/>
        <w:sz w:val="16"/>
        <w:szCs w:val="16"/>
      </w:rPr>
      <w:instrText xml:space="preserve"> </w:instrText>
    </w:r>
    <w:r w:rsidR="00E71C8E">
      <w:rPr>
        <w:color w:val="0B486B" w:themeColor="text2"/>
        <w:sz w:val="16"/>
        <w:szCs w:val="16"/>
      </w:rPr>
      <w:fldChar w:fldCharType="begin"/>
    </w:r>
    <w:r w:rsidR="00E71C8E">
      <w:rPr>
        <w:color w:val="0B486B" w:themeColor="text2"/>
        <w:sz w:val="16"/>
        <w:szCs w:val="16"/>
      </w:rPr>
      <w:instrText xml:space="preserve"> </w:instrText>
    </w:r>
    <w:r w:rsidR="00E71C8E">
      <w:rPr>
        <w:color w:val="0B486B" w:themeColor="text2"/>
        <w:sz w:val="16"/>
        <w:szCs w:val="16"/>
      </w:rPr>
      <w:fldChar w:fldCharType="begin"/>
    </w:r>
    <w:r w:rsidR="00E71C8E">
      <w:rPr>
        <w:color w:val="0B486B" w:themeColor="text2"/>
        <w:sz w:val="16"/>
        <w:szCs w:val="16"/>
      </w:rPr>
      <w:instrText xml:space="preserve"> </w:instrText>
    </w:r>
    <w:r w:rsidR="00E71C8E">
      <w:rPr>
        <w:color w:val="0B486B" w:themeColor="text2"/>
        <w:sz w:val="16"/>
        <w:szCs w:val="16"/>
      </w:rPr>
      <w:fldChar w:fldCharType="begin"/>
    </w:r>
    <w:r w:rsidR="00E71C8E">
      <w:rPr>
        <w:color w:val="0B486B" w:themeColor="text2"/>
        <w:sz w:val="16"/>
        <w:szCs w:val="16"/>
      </w:rPr>
      <w:instrText xml:space="preserve">  </w:instrText>
    </w:r>
    <w:r w:rsidR="00E71C8E">
      <w:rPr>
        <w:color w:val="0B486B" w:themeColor="text2"/>
        <w:sz w:val="16"/>
        <w:szCs w:val="16"/>
      </w:rPr>
      <w:fldChar w:fldCharType="end"/>
    </w:r>
    <w:r w:rsidR="00E71C8E">
      <w:rPr>
        <w:color w:val="0B486B" w:themeColor="text2"/>
        <w:sz w:val="16"/>
        <w:szCs w:val="16"/>
      </w:rPr>
      <w:instrText xml:space="preserve"> </w:instrText>
    </w:r>
    <w:r w:rsidR="00E71C8E">
      <w:rPr>
        <w:color w:val="0B486B" w:themeColor="text2"/>
        <w:sz w:val="16"/>
        <w:szCs w:val="16"/>
      </w:rPr>
      <w:fldChar w:fldCharType="end"/>
    </w:r>
    <w:r w:rsidR="00E71C8E">
      <w:rPr>
        <w:color w:val="0B486B" w:themeColor="text2"/>
        <w:sz w:val="16"/>
        <w:szCs w:val="16"/>
      </w:rPr>
      <w:instrText xml:space="preserve"> </w:instrText>
    </w:r>
    <w:r w:rsidR="00E71C8E">
      <w:rPr>
        <w:color w:val="0B486B" w:themeColor="text2"/>
        <w:sz w:val="16"/>
        <w:szCs w:val="16"/>
      </w:rPr>
      <w:fldChar w:fldCharType="end"/>
    </w:r>
    <w:r w:rsidR="00E71C8E">
      <w:rPr>
        <w:color w:val="0B486B" w:themeColor="text2"/>
        <w:sz w:val="16"/>
        <w:szCs w:val="16"/>
      </w:rPr>
      <w:instrText>EUAA SUBMISSION:</w:instrText>
    </w:r>
    <w:r w:rsidR="00E71C8E">
      <w:rPr>
        <w:color w:val="0B486B" w:themeColor="text2"/>
        <w:sz w:val="16"/>
        <w:szCs w:val="16"/>
      </w:rPr>
      <w:fldChar w:fldCharType="begin"/>
    </w:r>
    <w:r w:rsidR="00E71C8E">
      <w:rPr>
        <w:color w:val="0B486B" w:themeColor="text2"/>
        <w:sz w:val="16"/>
        <w:szCs w:val="16"/>
      </w:rPr>
      <w:instrText xml:space="preserve"> TITLE  \* Upper  \* MERGEFORMAT </w:instrText>
    </w:r>
    <w:r w:rsidR="00E71C8E">
      <w:rPr>
        <w:color w:val="0B486B" w:themeColor="text2"/>
        <w:sz w:val="16"/>
        <w:szCs w:val="16"/>
      </w:rPr>
      <w:fldChar w:fldCharType="separate"/>
    </w:r>
    <w:r w:rsidR="00A91E0E">
      <w:rPr>
        <w:color w:val="0B486B" w:themeColor="text2"/>
        <w:sz w:val="16"/>
        <w:szCs w:val="16"/>
      </w:rPr>
      <w:instrText>NSW DCCEEW OPPORTUNITIES FOR A RENEWABLE FUEL INDUSTRY IN NSW DISCUSSION PAPER</w:instrText>
    </w:r>
    <w:r w:rsidR="00E71C8E">
      <w:rPr>
        <w:color w:val="0B486B" w:themeColor="text2"/>
        <w:sz w:val="16"/>
        <w:szCs w:val="16"/>
      </w:rPr>
      <w:fldChar w:fldCharType="end"/>
    </w:r>
    <w:r w:rsidR="00E71C8E">
      <w:rPr>
        <w:color w:val="0B486B" w:themeColor="text2"/>
        <w:sz w:val="16"/>
        <w:szCs w:val="16"/>
      </w:rPr>
      <w:instrText xml:space="preserve">| </w:instrText>
    </w:r>
    <w:r w:rsidR="00E71C8E">
      <w:rPr>
        <w:color w:val="0B486B" w:themeColor="text2"/>
        <w:sz w:val="16"/>
        <w:szCs w:val="16"/>
      </w:rPr>
      <w:fldChar w:fldCharType="begin"/>
    </w:r>
    <w:r w:rsidR="00E71C8E">
      <w:rPr>
        <w:color w:val="0B486B" w:themeColor="text2"/>
        <w:sz w:val="16"/>
        <w:szCs w:val="16"/>
      </w:rPr>
      <w:instrText xml:space="preserve"> COMMENTS  \* Upper  \* MERGEFORMAT </w:instrText>
    </w:r>
    <w:r w:rsidR="00E71C8E">
      <w:rPr>
        <w:color w:val="0B486B" w:themeColor="text2"/>
        <w:sz w:val="16"/>
        <w:szCs w:val="16"/>
      </w:rPr>
      <w:fldChar w:fldCharType="separate"/>
    </w:r>
    <w:r w:rsidR="00A91E0E">
      <w:rPr>
        <w:color w:val="0B486B" w:themeColor="text2"/>
        <w:sz w:val="16"/>
        <w:szCs w:val="16"/>
      </w:rPr>
      <w:instrText>30 AUGUST 2024</w:instrText>
    </w:r>
    <w:r w:rsidR="00E71C8E">
      <w:rPr>
        <w:color w:val="0B486B" w:themeColor="text2"/>
        <w:sz w:val="16"/>
        <w:szCs w:val="16"/>
      </w:rPr>
      <w:fldChar w:fldCharType="end"/>
    </w:r>
  </w:p>
  <w:p w14:paraId="3F9E18A2" w14:textId="07B05239" w:rsidR="00E71C8E" w:rsidRPr="00E11413" w:rsidRDefault="00E71C8E" w:rsidP="00907DF5">
    <w:pPr>
      <w:pStyle w:val="Footer"/>
      <w:tabs>
        <w:tab w:val="clear" w:pos="4513"/>
        <w:tab w:val="clear" w:pos="9026"/>
        <w:tab w:val="right" w:pos="10348"/>
      </w:tabs>
      <w:rPr>
        <w:color w:val="0B486B" w:themeColor="text2"/>
        <w:sz w:val="16"/>
        <w:szCs w:val="16"/>
      </w:rPr>
    </w:pPr>
    <w:r w:rsidRPr="00CF7843">
      <w:rPr>
        <w:color w:val="0B486B" w:themeColor="text2"/>
        <w:sz w:val="16"/>
        <w:szCs w:val="16"/>
      </w:rPr>
      <w:tab/>
      <w:instrText xml:space="preserve">Page </w:instrText>
    </w:r>
    <w:r w:rsidRPr="00CF7843">
      <w:rPr>
        <w:color w:val="0B486B" w:themeColor="text2"/>
        <w:sz w:val="16"/>
        <w:szCs w:val="16"/>
      </w:rPr>
      <w:fldChar w:fldCharType="begin"/>
    </w:r>
    <w:r w:rsidRPr="00CF7843">
      <w:rPr>
        <w:color w:val="0B486B" w:themeColor="text2"/>
        <w:sz w:val="16"/>
        <w:szCs w:val="16"/>
      </w:rPr>
      <w:instrText xml:space="preserve"> PAGE  \* Arabic  \* MERGEFORMAT </w:instrText>
    </w:r>
    <w:r w:rsidRPr="00CF7843">
      <w:rPr>
        <w:color w:val="0B486B" w:themeColor="text2"/>
        <w:sz w:val="16"/>
        <w:szCs w:val="16"/>
      </w:rPr>
      <w:fldChar w:fldCharType="separate"/>
    </w:r>
    <w:r w:rsidR="00A91E0E">
      <w:rPr>
        <w:noProof/>
        <w:color w:val="0B486B" w:themeColor="text2"/>
        <w:sz w:val="16"/>
        <w:szCs w:val="16"/>
      </w:rPr>
      <w:instrText>2</w:instrText>
    </w:r>
    <w:r w:rsidRPr="00CF7843">
      <w:rPr>
        <w:color w:val="0B486B" w:themeColor="text2"/>
        <w:sz w:val="16"/>
        <w:szCs w:val="16"/>
      </w:rPr>
      <w:fldChar w:fldCharType="end"/>
    </w:r>
    <w:r w:rsidRPr="00CF7843">
      <w:rPr>
        <w:color w:val="0B486B" w:themeColor="text2"/>
        <w:sz w:val="16"/>
        <w:szCs w:val="16"/>
      </w:rPr>
      <w:instrText xml:space="preserve"> of </w:instrText>
    </w:r>
    <w:r w:rsidRPr="00CF7843">
      <w:rPr>
        <w:color w:val="0B486B" w:themeColor="text2"/>
        <w:sz w:val="16"/>
        <w:szCs w:val="16"/>
      </w:rPr>
      <w:fldChar w:fldCharType="begin"/>
    </w:r>
    <w:r w:rsidRPr="00CF7843">
      <w:rPr>
        <w:color w:val="0B486B" w:themeColor="text2"/>
        <w:sz w:val="16"/>
        <w:szCs w:val="16"/>
      </w:rPr>
      <w:instrText xml:space="preserve"> NUMPAGES  \* Arabic  \* MERGEFORMAT </w:instrText>
    </w:r>
    <w:r w:rsidRPr="00CF7843">
      <w:rPr>
        <w:color w:val="0B486B" w:themeColor="text2"/>
        <w:sz w:val="16"/>
        <w:szCs w:val="16"/>
      </w:rPr>
      <w:fldChar w:fldCharType="separate"/>
    </w:r>
    <w:r w:rsidR="00A91E0E">
      <w:rPr>
        <w:noProof/>
        <w:color w:val="0B486B" w:themeColor="text2"/>
        <w:sz w:val="16"/>
        <w:szCs w:val="16"/>
      </w:rPr>
      <w:instrText>2</w:instrText>
    </w:r>
    <w:r w:rsidRPr="00CF7843">
      <w:rPr>
        <w:color w:val="0B486B" w:themeColor="text2"/>
        <w:sz w:val="16"/>
        <w:szCs w:val="16"/>
      </w:rPr>
      <w:fldChar w:fldCharType="end"/>
    </w:r>
    <w:r>
      <w:rPr>
        <w:color w:val="0B486B" w:themeColor="text2"/>
        <w:sz w:val="16"/>
        <w:szCs w:val="16"/>
      </w:rPr>
      <w:instrText xml:space="preserve"> </w:instrText>
    </w:r>
    <w:r>
      <w:rPr>
        <w:color w:val="0B486B" w:themeColor="text2"/>
        <w:sz w:val="16"/>
        <w:szCs w:val="16"/>
      </w:rPr>
      <w:fldChar w:fldCharType="separate"/>
    </w:r>
    <w:r>
      <w:rPr>
        <w:b/>
        <w:bCs/>
        <w:color w:val="0B486B" w:themeColor="text2"/>
        <w:sz w:val="16"/>
        <w:szCs w:val="16"/>
        <w:lang w:val="en-US"/>
      </w:rPr>
      <w:t>Error! Bookmark not defined.</w:t>
    </w:r>
    <w:r>
      <w:rPr>
        <w:color w:val="0B486B" w:themeColor="text2"/>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8F5E9" w14:textId="58084FE8" w:rsidR="00926093" w:rsidRDefault="00E71C8E" w:rsidP="00300B14">
    <w:pPr>
      <w:pStyle w:val="Footer"/>
      <w:tabs>
        <w:tab w:val="clear" w:pos="9026"/>
        <w:tab w:val="right" w:pos="10348"/>
      </w:tabs>
      <w:rPr>
        <w:color w:val="0B486B" w:themeColor="text2"/>
        <w:sz w:val="16"/>
        <w:szCs w:val="16"/>
      </w:rPr>
    </w:pPr>
    <w:r>
      <w:rPr>
        <w:color w:val="0B486B" w:themeColor="text2"/>
        <w:sz w:val="16"/>
        <w:szCs w:val="16"/>
      </w:rPr>
      <w:t xml:space="preserve">ENERGY USERS ASSOCIATION OF AUSTRALIA | EUAA SUBMISSION </w:t>
    </w:r>
    <w:r w:rsidR="00926093">
      <w:rPr>
        <w:color w:val="0B486B" w:themeColor="text2"/>
        <w:sz w:val="16"/>
        <w:szCs w:val="16"/>
      </w:rPr>
      <w:t xml:space="preserve">29 NOVEMBER </w:t>
    </w:r>
    <w:r w:rsidR="00926093">
      <w:rPr>
        <w:color w:val="0B486B" w:themeColor="text2"/>
        <w:sz w:val="16"/>
        <w:szCs w:val="16"/>
      </w:rPr>
      <w:t>2024</w:t>
    </w:r>
  </w:p>
  <w:p w14:paraId="42049833" w14:textId="0141976A" w:rsidR="00E71C8E" w:rsidRPr="00CF7843" w:rsidRDefault="00926093" w:rsidP="00300B14">
    <w:pPr>
      <w:pStyle w:val="Footer"/>
      <w:tabs>
        <w:tab w:val="clear" w:pos="9026"/>
        <w:tab w:val="right" w:pos="10348"/>
      </w:tabs>
      <w:rPr>
        <w:color w:val="0B486B" w:themeColor="text2"/>
        <w:sz w:val="16"/>
        <w:szCs w:val="16"/>
      </w:rPr>
    </w:pPr>
    <w:r>
      <w:rPr>
        <w:color w:val="0B486B" w:themeColor="text2"/>
        <w:sz w:val="16"/>
        <w:szCs w:val="16"/>
      </w:rPr>
      <w:t>F</w:t>
    </w:r>
    <w:r w:rsidR="00E71C8E">
      <w:rPr>
        <w:color w:val="0B486B" w:themeColor="text2"/>
        <w:sz w:val="16"/>
        <w:szCs w:val="16"/>
      </w:rPr>
      <w:t>or more information, please contact euaa@euaa.com.au</w:t>
    </w:r>
    <w:r w:rsidR="00E71C8E" w:rsidRPr="00CF7843">
      <w:rPr>
        <w:color w:val="0B486B" w:themeColor="text2"/>
        <w:sz w:val="16"/>
        <w:szCs w:val="16"/>
      </w:rPr>
      <w:tab/>
    </w:r>
    <w:r w:rsidR="00E71C8E" w:rsidRPr="00CF7843">
      <w:rPr>
        <w:color w:val="0B486B" w:themeColor="text2"/>
        <w:sz w:val="16"/>
        <w:szCs w:val="16"/>
      </w:rPr>
      <w:tab/>
      <w:t xml:space="preserve">Page </w:t>
    </w:r>
    <w:r w:rsidR="00E71C8E" w:rsidRPr="00CF7843">
      <w:rPr>
        <w:color w:val="0B486B" w:themeColor="text2"/>
        <w:sz w:val="16"/>
        <w:szCs w:val="16"/>
      </w:rPr>
      <w:fldChar w:fldCharType="begin"/>
    </w:r>
    <w:r w:rsidR="00E71C8E" w:rsidRPr="00CF7843">
      <w:rPr>
        <w:color w:val="0B486B" w:themeColor="text2"/>
        <w:sz w:val="16"/>
        <w:szCs w:val="16"/>
      </w:rPr>
      <w:instrText xml:space="preserve"> PAGE  \* Arabic  \* MERGEFORMAT </w:instrText>
    </w:r>
    <w:r w:rsidR="00E71C8E" w:rsidRPr="00CF7843">
      <w:rPr>
        <w:color w:val="0B486B" w:themeColor="text2"/>
        <w:sz w:val="16"/>
        <w:szCs w:val="16"/>
      </w:rPr>
      <w:fldChar w:fldCharType="separate"/>
    </w:r>
    <w:r w:rsidR="00E71C8E">
      <w:rPr>
        <w:noProof/>
        <w:color w:val="0B486B" w:themeColor="text2"/>
        <w:sz w:val="16"/>
        <w:szCs w:val="16"/>
      </w:rPr>
      <w:t>1</w:t>
    </w:r>
    <w:r w:rsidR="00E71C8E" w:rsidRPr="00CF7843">
      <w:rPr>
        <w:color w:val="0B486B" w:themeColor="text2"/>
        <w:sz w:val="16"/>
        <w:szCs w:val="16"/>
      </w:rPr>
      <w:fldChar w:fldCharType="end"/>
    </w:r>
    <w:r w:rsidR="00E71C8E" w:rsidRPr="00CF7843">
      <w:rPr>
        <w:color w:val="0B486B" w:themeColor="text2"/>
        <w:sz w:val="16"/>
        <w:szCs w:val="16"/>
      </w:rPr>
      <w:t xml:space="preserve"> of </w:t>
    </w:r>
    <w:r w:rsidR="00E71C8E" w:rsidRPr="00CF7843">
      <w:rPr>
        <w:color w:val="0B486B" w:themeColor="text2"/>
        <w:sz w:val="16"/>
        <w:szCs w:val="16"/>
      </w:rPr>
      <w:fldChar w:fldCharType="begin"/>
    </w:r>
    <w:r w:rsidR="00E71C8E" w:rsidRPr="00CF7843">
      <w:rPr>
        <w:color w:val="0B486B" w:themeColor="text2"/>
        <w:sz w:val="16"/>
        <w:szCs w:val="16"/>
      </w:rPr>
      <w:instrText xml:space="preserve"> NUMPAGES  \* Arabic  \* MERGEFORMAT </w:instrText>
    </w:r>
    <w:r w:rsidR="00E71C8E" w:rsidRPr="00CF7843">
      <w:rPr>
        <w:color w:val="0B486B" w:themeColor="text2"/>
        <w:sz w:val="16"/>
        <w:szCs w:val="16"/>
      </w:rPr>
      <w:fldChar w:fldCharType="separate"/>
    </w:r>
    <w:r w:rsidR="00E71C8E">
      <w:rPr>
        <w:noProof/>
        <w:color w:val="0B486B" w:themeColor="text2"/>
        <w:sz w:val="16"/>
        <w:szCs w:val="16"/>
      </w:rPr>
      <w:t>2</w:t>
    </w:r>
    <w:r w:rsidR="00E71C8E" w:rsidRPr="00CF7843">
      <w:rPr>
        <w:color w:val="0B486B" w:themeColor="text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5E438" w14:textId="77777777" w:rsidR="00507419" w:rsidRDefault="00507419" w:rsidP="00204536">
      <w:r>
        <w:separator/>
      </w:r>
    </w:p>
  </w:footnote>
  <w:footnote w:type="continuationSeparator" w:id="0">
    <w:p w14:paraId="046BE7ED" w14:textId="77777777" w:rsidR="00507419" w:rsidRDefault="00507419" w:rsidP="00204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CD7E7" w14:textId="77777777" w:rsidR="00734298" w:rsidRDefault="00734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AD34" w14:textId="77777777" w:rsidR="00E71C8E" w:rsidRDefault="00E71C8E" w:rsidP="00CE23AD">
    <w:pPr>
      <w:pStyle w:val="Header"/>
      <w:tabs>
        <w:tab w:val="clear" w:pos="9026"/>
        <w:tab w:val="right" w:pos="10348"/>
      </w:tabs>
    </w:pPr>
  </w:p>
  <w:p w14:paraId="3A5EC6FB" w14:textId="10795990" w:rsidR="00E71C8E" w:rsidRPr="00CE23AD" w:rsidRDefault="00E71C8E" w:rsidP="00CE23AD">
    <w:pPr>
      <w:pStyle w:val="Header"/>
      <w:tabs>
        <w:tab w:val="clear" w:pos="9026"/>
        <w:tab w:val="right" w:pos="10348"/>
      </w:tabs>
    </w:pPr>
    <w:r>
      <w:tab/>
    </w:r>
    <w:r>
      <w:tab/>
    </w:r>
    <w:r>
      <w:rPr>
        <w:rFonts w:asciiTheme="majorHAnsi" w:hAnsiTheme="majorHAnsi"/>
        <w:noProof/>
        <w:color w:val="0B486B" w:themeColor="text2"/>
        <w:sz w:val="44"/>
        <w:szCs w:val="44"/>
      </w:rPr>
      <w:drawing>
        <wp:inline distT="0" distB="0" distL="0" distR="0" wp14:anchorId="2CCCE4F9" wp14:editId="4B78DF20">
          <wp:extent cx="769645" cy="300093"/>
          <wp:effectExtent l="0" t="0" r="0" b="5080"/>
          <wp:docPr id="359601327" name="Picture 3596013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rotWithShape="1">
                  <a:blip r:embed="rId1" cstate="print">
                    <a:extLst>
                      <a:ext uri="{28A0092B-C50C-407E-A947-70E740481C1C}">
                        <a14:useLocalDpi xmlns:a14="http://schemas.microsoft.com/office/drawing/2010/main" val="0"/>
                      </a:ext>
                    </a:extLst>
                  </a:blip>
                  <a:srcRect l="5158" t="9902" r="5030" b="10959"/>
                  <a:stretch/>
                </pic:blipFill>
                <pic:spPr bwMode="auto">
                  <a:xfrm>
                    <a:off x="0" y="0"/>
                    <a:ext cx="829456" cy="323414"/>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hAnsiTheme="majorHAnsi"/>
        <w:noProof/>
        <w:color w:val="0B486B" w:themeColor="text2"/>
        <w:sz w:val="44"/>
        <w:szCs w:val="44"/>
      </w:rPr>
      <mc:AlternateContent>
        <mc:Choice Requires="wps">
          <w:drawing>
            <wp:anchor distT="0" distB="0" distL="114300" distR="114300" simplePos="0" relativeHeight="251656704" behindDoc="0" locked="1" layoutInCell="1" allowOverlap="1" wp14:anchorId="26512D22" wp14:editId="2A0BF00D">
              <wp:simplePos x="0" y="0"/>
              <wp:positionH relativeFrom="column">
                <wp:posOffset>6923405</wp:posOffset>
              </wp:positionH>
              <wp:positionV relativeFrom="page">
                <wp:posOffset>-3810</wp:posOffset>
              </wp:positionV>
              <wp:extent cx="14400" cy="10717200"/>
              <wp:effectExtent l="95250" t="0" r="119380" b="65405"/>
              <wp:wrapNone/>
              <wp:docPr id="8" name="Straight Connector 8"/>
              <wp:cNvGraphicFramePr/>
              <a:graphic xmlns:a="http://schemas.openxmlformats.org/drawingml/2006/main">
                <a:graphicData uri="http://schemas.microsoft.com/office/word/2010/wordprocessingShape">
                  <wps:wsp>
                    <wps:cNvCnPr/>
                    <wps:spPr>
                      <a:xfrm>
                        <a:off x="0" y="0"/>
                        <a:ext cx="14400" cy="10717200"/>
                      </a:xfrm>
                      <a:prstGeom prst="line">
                        <a:avLst/>
                      </a:prstGeom>
                      <a:ln w="209550">
                        <a:gradFill>
                          <a:gsLst>
                            <a:gs pos="0">
                              <a:schemeClr val="tx2"/>
                            </a:gs>
                            <a:gs pos="33000">
                              <a:schemeClr val="accent1"/>
                            </a:gs>
                            <a:gs pos="66000">
                              <a:schemeClr val="accent2"/>
                            </a:gs>
                            <a:gs pos="100000">
                              <a:schemeClr val="accent4"/>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60402" id="Straight Connector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45.15pt,-.3pt" to="546.3pt,8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323+AEAAMsEAAAOAAAAZHJzL2Uyb0RvYy54bWyslN1u2yAUx+8n7R0Q94vtNElXK04vWnU3&#10;01at2wNQfLCRMCBgsfP2O2DHibqo3abdYD7O/3z84Hh7O3SK7MF5aXRFi0VOCWhuaqmbiv74/vDh&#10;IyU+MF0zZTRU9ACe3u7ev9v2toSlaY2qwRF0on3Z24q2IdgyyzxvoWN+YSxoPBTGdSzg0jVZ7ViP&#10;3juVLfN8k/XG1dYZDt7j7v14SHfJvxDAw1chPASiKoq5hTS6ND7HMdttWdk4ZlvJpzTYP2TRMakx&#10;6OzqngVGfjr5m6tOcme8EWHBTZcZISSHVANWU+QvqnlqmYVUC8Lxdsbk/59b/mV/px8dYuitL719&#10;dLGKQbgufjE/MiRYhxkWDIFw3CxWqxyJcjwp8uviGm8j0sxOaut8+ASmI3FSUSV1LIaVbP/Zh9H0&#10;aBK3lSZ9RZf5zXqdH1nWD1KpeNh41IwTYg0CGE3SO4E75cie4Q2HYTnl0Phz46urHLOLOy8EjHPQ&#10;obgo2mxeFV2OVKDmtVCrs1CIai4L4RAWe2aNVKMH4jlTUE/Yo6ljEw1cKI2kTzeWZuGgIJao9DcQ&#10;RNbxjt6uOVlHmUDSs/APYE32UQqp0f5GPCtSZKPDLO6kNu5S2mE4XpMY7Y8ExrojgmdTH9JbTmiw&#10;Y9JznLo7tuT5OslP/6DdLwAAAP//AwBQSwMEFAAGAAgAAAAhACZDVKjgAAAADAEAAA8AAABkcnMv&#10;ZG93bnJldi54bWxMj8FOwzAQRO9I/IO1SNxauwHSJsSpKqQeOEHSol7deEkiYjuK3ST8PdtTuc1o&#10;n2Znsu1sOjbi4FtnJayWAhjayunW1hKOh/1iA8wHZbXqnEUJv+hhm9/fZSrVbrIFjmWoGYVYnyoJ&#10;TQh9yrmvGjTKL12Plm7fbjAqkB1qrgc1UbjpeCREzI1qLX1oVI9vDVY/5cVI2L2vP7/46fjxsn9O&#10;ShGdisM0FlI+Psy7V2AB53CD4VqfqkNOnc7uYrVnHXmRiCdiJSxiYFdAJBGpM6l4s14BzzP+f0T+&#10;BwAA//8DAFBLAQItABQABgAIAAAAIQC2gziS/gAAAOEBAAATAAAAAAAAAAAAAAAAAAAAAABbQ29u&#10;dGVudF9UeXBlc10ueG1sUEsBAi0AFAAGAAgAAAAhADj9If/WAAAAlAEAAAsAAAAAAAAAAAAAAAAA&#10;LwEAAF9yZWxzLy5yZWxzUEsBAi0AFAAGAAgAAAAhAI8ffbf4AQAAywQAAA4AAAAAAAAAAAAAAAAA&#10;LgIAAGRycy9lMm9Eb2MueG1sUEsBAi0AFAAGAAgAAAAhACZDVKjgAAAADAEAAA8AAAAAAAAAAAAA&#10;AAAAUgQAAGRycy9kb3ducmV2LnhtbFBLBQYAAAAABAAEAPMAAABfBQAAAAA=&#10;" strokeweight="16.5pt">
              <w10:wrap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2484" w14:textId="191789F3" w:rsidR="00E71C8E" w:rsidRPr="00BB262A" w:rsidRDefault="00E71C8E" w:rsidP="00BB262A">
    <w:pPr>
      <w:pStyle w:val="Header"/>
      <w:tabs>
        <w:tab w:val="clear" w:pos="4513"/>
        <w:tab w:val="clear" w:pos="9026"/>
        <w:tab w:val="center" w:pos="5103"/>
        <w:tab w:val="right" w:pos="10348"/>
      </w:tabs>
      <w:rPr>
        <w:rStyle w:val="TitleChar"/>
        <w:sz w:val="28"/>
        <w:szCs w:val="28"/>
      </w:rPr>
    </w:pPr>
    <w:r w:rsidRPr="00BB262A">
      <w:rPr>
        <w:rFonts w:asciiTheme="majorHAnsi" w:hAnsiTheme="majorHAnsi"/>
        <w:noProof/>
        <w:color w:val="0B486B" w:themeColor="text2"/>
        <w:sz w:val="28"/>
        <w:szCs w:val="28"/>
      </w:rPr>
      <mc:AlternateContent>
        <mc:Choice Requires="wps">
          <w:drawing>
            <wp:anchor distT="0" distB="0" distL="114300" distR="114300" simplePos="0" relativeHeight="251657728" behindDoc="0" locked="0" layoutInCell="1" allowOverlap="1" wp14:anchorId="1095C47F" wp14:editId="0A103402">
              <wp:simplePos x="0" y="0"/>
              <wp:positionH relativeFrom="column">
                <wp:posOffset>6898336</wp:posOffset>
              </wp:positionH>
              <wp:positionV relativeFrom="paragraph">
                <wp:posOffset>-179070</wp:posOffset>
              </wp:positionV>
              <wp:extent cx="16013" cy="10718358"/>
              <wp:effectExtent l="95250" t="0" r="117475" b="64135"/>
              <wp:wrapNone/>
              <wp:docPr id="5" name="Straight Connector 5"/>
              <wp:cNvGraphicFramePr/>
              <a:graphic xmlns:a="http://schemas.openxmlformats.org/drawingml/2006/main">
                <a:graphicData uri="http://schemas.microsoft.com/office/word/2010/wordprocessingShape">
                  <wps:wsp>
                    <wps:cNvCnPr/>
                    <wps:spPr>
                      <a:xfrm>
                        <a:off x="0" y="0"/>
                        <a:ext cx="16013" cy="10718358"/>
                      </a:xfrm>
                      <a:prstGeom prst="line">
                        <a:avLst/>
                      </a:prstGeom>
                      <a:ln w="209550">
                        <a:gradFill>
                          <a:gsLst>
                            <a:gs pos="0">
                              <a:schemeClr val="tx2"/>
                            </a:gs>
                            <a:gs pos="33000">
                              <a:schemeClr val="accent1"/>
                            </a:gs>
                            <a:gs pos="66000">
                              <a:schemeClr val="accent2"/>
                            </a:gs>
                            <a:gs pos="100000">
                              <a:schemeClr val="accent4"/>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6B679" id="Straight Connector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2pt,-14.1pt" to="544.45pt,8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5l+QEAAMsEAAAOAAAAZHJzL2Uyb0RvYy54bWyslM2O0zAQx+9IvIPlO03SbkuJmu5hV8sF&#10;wYqFB/A648SSY1u2adK3Z+ykaVmqFSAujj/mPx8/e7K7HTpFDuC8NLqixSKnBDQ3tdRNRb9/e3i3&#10;pcQHpmumjIaKHsHT2/3bN7velrA0rVE1OIJOtC97W9E2BFtmmectdMwvjAWNh8K4jgVcuiarHevR&#10;e6eyZZ5vst642jrDwXvcvR8P6T75FwJ4+CKEh0BURTG3kEaXxuc4ZvsdKxvHbCv5lAb7hyw6JjUG&#10;nV3ds8DIDyd/c9VJ7ow3Iiy46TIjhOSQasBqivxFNU8ts5BqQTjezpj8/3PLPx/u9KNDDL31pbeP&#10;LlYxCNfFL+ZHhgTrOMOCIRCOm8UmL1aUcDwp8vfFdrXeRprZWW2dDx/BdCROKqqkjsWwkh0++TCa&#10;nkzittKkr+gy/7Be5yeW9YNUKh42HjXjhFiDAEaT9E7gTjlyYHjDYVhOOTT+0ni1yvOrAsY56FBc&#10;FW02r4quRypQ81qom4tQiGouC+EQFntmfTN6IJ4zBfWEPZo6NtHAhdJI+nxjaRaOCkaOX0EQWcc7&#10;ShxfQPq1ZqXROsoEkp6FfwBrso9SSI32N+JZkSIbHWZxJ7Vx19IOw+maxGh/IjDWHRE8m/qY3nJC&#10;gx2TnuPU3bElL9dJfv4H7X8CAAD//wMAUEsDBBQABgAIAAAAIQCKDlsu4gAAAA4BAAAPAAAAZHJz&#10;L2Rvd25yZXYueG1sTI+xboMwEIb3Sn0H6yp1S+yihBiKiaJKGTq1kFRZHewACrYRdoC+fS9Ts92v&#10;+/Tfd9l2Nh0Z9eBbZwW8LRkQbSunWlsLOB72Cw7EB2mV7JzVAn61h23+/JTJVLnJFnosQ02wxPpU&#10;CmhC6FNKfdVoI/3S9dri7uIGIwPGoaZqkBOWm45GjMXUyNbihUb2+qPR1bW8GQG7z833Dz0dv9b7&#10;VVKy6FQcprEQ4vVl3r0DCXoO/zDc9VEdcnQ6u5tVnnSYGY9XyApYRDwCckcY5wmQM07xOtkAzTP6&#10;+Eb+BwAA//8DAFBLAQItABQABgAIAAAAIQC2gziS/gAAAOEBAAATAAAAAAAAAAAAAAAAAAAAAABb&#10;Q29udGVudF9UeXBlc10ueG1sUEsBAi0AFAAGAAgAAAAhADj9If/WAAAAlAEAAAsAAAAAAAAAAAAA&#10;AAAALwEAAF9yZWxzLy5yZWxzUEsBAi0AFAAGAAgAAAAhADR/PmX5AQAAywQAAA4AAAAAAAAAAAAA&#10;AAAALgIAAGRycy9lMm9Eb2MueG1sUEsBAi0AFAAGAAgAAAAhAIoOWy7iAAAADgEAAA8AAAAAAAAA&#10;AAAAAAAAUwQAAGRycy9kb3ducmV2LnhtbFBLBQYAAAAABAAEAPMAAABiBQAAAAA=&#10;" strokeweight="16.5pt"/>
          </w:pict>
        </mc:Fallback>
      </mc:AlternateContent>
    </w:r>
  </w:p>
  <w:p w14:paraId="6C415C0E" w14:textId="6331CF97" w:rsidR="00E71C8E" w:rsidRDefault="00E71C8E" w:rsidP="00BB262A">
    <w:pPr>
      <w:pStyle w:val="Header"/>
      <w:tabs>
        <w:tab w:val="clear" w:pos="4513"/>
        <w:tab w:val="clear" w:pos="9026"/>
        <w:tab w:val="center" w:pos="5103"/>
        <w:tab w:val="right" w:pos="10348"/>
      </w:tabs>
      <w:rPr>
        <w:rFonts w:asciiTheme="majorHAnsi" w:hAnsiTheme="majorHAnsi"/>
        <w:noProof/>
        <w:color w:val="0B486B" w:themeColor="text2"/>
        <w:sz w:val="44"/>
        <w:szCs w:val="44"/>
      </w:rPr>
    </w:pPr>
    <w:r w:rsidRPr="00BB262A">
      <w:rPr>
        <w:rStyle w:val="TitleChar"/>
      </w:rPr>
      <w:t xml:space="preserve">SUBMISSION </w:t>
    </w:r>
    <w:r>
      <w:rPr>
        <w:rFonts w:asciiTheme="majorHAnsi" w:hAnsiTheme="majorHAnsi"/>
        <w:noProof/>
        <w:color w:val="0B486B" w:themeColor="text2"/>
        <w:sz w:val="44"/>
        <w:szCs w:val="44"/>
      </w:rPr>
      <w:tab/>
    </w:r>
    <w:r>
      <w:rPr>
        <w:rFonts w:asciiTheme="majorHAnsi" w:hAnsiTheme="majorHAnsi"/>
        <w:noProof/>
        <w:color w:val="0B486B" w:themeColor="text2"/>
        <w:sz w:val="44"/>
        <w:szCs w:val="44"/>
      </w:rPr>
      <w:tab/>
    </w:r>
    <w:r>
      <w:rPr>
        <w:rFonts w:asciiTheme="majorHAnsi" w:hAnsiTheme="majorHAnsi"/>
        <w:noProof/>
        <w:color w:val="0B486B" w:themeColor="text2"/>
        <w:sz w:val="44"/>
        <w:szCs w:val="44"/>
      </w:rPr>
      <w:drawing>
        <wp:inline distT="0" distB="0" distL="0" distR="0" wp14:anchorId="7453DFDF" wp14:editId="16174DF7">
          <wp:extent cx="1351238" cy="526863"/>
          <wp:effectExtent l="0" t="0" r="1905" b="6985"/>
          <wp:docPr id="486639374" name="Picture 48663937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rotWithShape="1">
                  <a:blip r:embed="rId1" cstate="print">
                    <a:extLst>
                      <a:ext uri="{28A0092B-C50C-407E-A947-70E740481C1C}">
                        <a14:useLocalDpi xmlns:a14="http://schemas.microsoft.com/office/drawing/2010/main" val="0"/>
                      </a:ext>
                    </a:extLst>
                  </a:blip>
                  <a:srcRect l="5158" t="9902" r="5030" b="10959"/>
                  <a:stretch/>
                </pic:blipFill>
                <pic:spPr bwMode="auto">
                  <a:xfrm>
                    <a:off x="0" y="0"/>
                    <a:ext cx="1421776" cy="554366"/>
                  </a:xfrm>
                  <a:prstGeom prst="rect">
                    <a:avLst/>
                  </a:prstGeom>
                  <a:ln>
                    <a:noFill/>
                  </a:ln>
                  <a:extLst>
                    <a:ext uri="{53640926-AAD7-44D8-BBD7-CCE9431645EC}">
                      <a14:shadowObscured xmlns:a14="http://schemas.microsoft.com/office/drawing/2010/main"/>
                    </a:ext>
                  </a:extLst>
                </pic:spPr>
              </pic:pic>
            </a:graphicData>
          </a:graphic>
        </wp:inline>
      </w:drawing>
    </w:r>
  </w:p>
  <w:p w14:paraId="08F5D110" w14:textId="23979407" w:rsidR="00E71C8E" w:rsidRDefault="00926093" w:rsidP="00BB262A">
    <w:pPr>
      <w:pStyle w:val="Header"/>
      <w:tabs>
        <w:tab w:val="clear" w:pos="4513"/>
        <w:tab w:val="clear" w:pos="9026"/>
        <w:tab w:val="center" w:pos="5103"/>
        <w:tab w:val="right" w:pos="10348"/>
      </w:tabs>
    </w:pPr>
    <w:r>
      <w:rPr>
        <w:rStyle w:val="Heading1Char"/>
        <w:noProof/>
        <w:sz w:val="16"/>
        <w:szCs w:val="16"/>
      </w:rPr>
    </w:r>
    <w:r w:rsidR="00926093">
      <w:rPr>
        <w:rStyle w:val="Heading1Char"/>
        <w:noProof/>
        <w:sz w:val="16"/>
        <w:szCs w:val="16"/>
      </w:rPr>
      <w:pict w14:anchorId="4735A425">
        <v:rect id="_x0000_i1025" alt="" style="width:518.75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43A7"/>
    <w:multiLevelType w:val="hybridMultilevel"/>
    <w:tmpl w:val="B5AE448E"/>
    <w:lvl w:ilvl="0" w:tplc="185024F2">
      <w:start w:val="1"/>
      <w:numFmt w:val="bullet"/>
      <w:lvlText w:val=""/>
      <w:lvlJc w:val="left"/>
      <w:pPr>
        <w:ind w:left="720" w:hanging="360"/>
      </w:pPr>
      <w:rPr>
        <w:rFonts w:ascii="Symbol" w:hAnsi="Symbol" w:hint="default"/>
        <w:color w:val="3B868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740F4"/>
    <w:multiLevelType w:val="hybridMultilevel"/>
    <w:tmpl w:val="10CCA8EE"/>
    <w:lvl w:ilvl="0" w:tplc="AFCA5464">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FD589E"/>
    <w:multiLevelType w:val="hybridMultilevel"/>
    <w:tmpl w:val="BB52B380"/>
    <w:lvl w:ilvl="0" w:tplc="1DEEA05E">
      <w:start w:val="1"/>
      <w:numFmt w:val="bullet"/>
      <w:lvlText w:val=""/>
      <w:lvlJc w:val="left"/>
      <w:pPr>
        <w:ind w:left="360" w:hanging="360"/>
      </w:pPr>
      <w:rPr>
        <w:rFonts w:ascii="Symbol" w:hAnsi="Symbol" w:hint="default"/>
        <w:color w:val="79BD9A"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3A6D55"/>
    <w:multiLevelType w:val="hybridMultilevel"/>
    <w:tmpl w:val="3AAC5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3B0ECB"/>
    <w:multiLevelType w:val="hybridMultilevel"/>
    <w:tmpl w:val="758A9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548BE"/>
    <w:multiLevelType w:val="hybridMultilevel"/>
    <w:tmpl w:val="DB8ADBE4"/>
    <w:lvl w:ilvl="0" w:tplc="1DEEA05E">
      <w:start w:val="1"/>
      <w:numFmt w:val="bullet"/>
      <w:lvlText w:val=""/>
      <w:lvlJc w:val="left"/>
      <w:pPr>
        <w:ind w:left="360" w:hanging="360"/>
      </w:pPr>
      <w:rPr>
        <w:rFonts w:ascii="Symbol" w:hAnsi="Symbol" w:hint="default"/>
        <w:color w:val="79BD9A"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A275F2"/>
    <w:multiLevelType w:val="hybridMultilevel"/>
    <w:tmpl w:val="524E1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E91174"/>
    <w:multiLevelType w:val="hybridMultilevel"/>
    <w:tmpl w:val="42425D76"/>
    <w:lvl w:ilvl="0" w:tplc="1DEEA05E">
      <w:start w:val="1"/>
      <w:numFmt w:val="bullet"/>
      <w:lvlText w:val=""/>
      <w:lvlJc w:val="left"/>
      <w:pPr>
        <w:ind w:left="360" w:hanging="360"/>
      </w:pPr>
      <w:rPr>
        <w:rFonts w:ascii="Symbol" w:hAnsi="Symbol" w:hint="default"/>
        <w:color w:val="79BD9A"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8172E4"/>
    <w:multiLevelType w:val="hybridMultilevel"/>
    <w:tmpl w:val="8EBAD712"/>
    <w:lvl w:ilvl="0" w:tplc="1DEEA05E">
      <w:start w:val="1"/>
      <w:numFmt w:val="bullet"/>
      <w:lvlText w:val=""/>
      <w:lvlJc w:val="left"/>
      <w:pPr>
        <w:ind w:left="360" w:hanging="360"/>
      </w:pPr>
      <w:rPr>
        <w:rFonts w:ascii="Symbol" w:hAnsi="Symbol" w:hint="default"/>
        <w:color w:val="79BD9A"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7A7EF6"/>
    <w:multiLevelType w:val="hybridMultilevel"/>
    <w:tmpl w:val="146CF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DD471C"/>
    <w:multiLevelType w:val="hybridMultilevel"/>
    <w:tmpl w:val="9004625C"/>
    <w:lvl w:ilvl="0" w:tplc="1DEEA05E">
      <w:start w:val="1"/>
      <w:numFmt w:val="bullet"/>
      <w:lvlText w:val=""/>
      <w:lvlJc w:val="left"/>
      <w:pPr>
        <w:ind w:left="360" w:hanging="360"/>
      </w:pPr>
      <w:rPr>
        <w:rFonts w:ascii="Symbol" w:hAnsi="Symbol" w:hint="default"/>
        <w:color w:val="79BD9A"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DB3361"/>
    <w:multiLevelType w:val="hybridMultilevel"/>
    <w:tmpl w:val="BEC8985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2" w15:restartNumberingAfterBreak="0">
    <w:nsid w:val="3CE01F64"/>
    <w:multiLevelType w:val="hybridMultilevel"/>
    <w:tmpl w:val="F2F066BE"/>
    <w:lvl w:ilvl="0" w:tplc="B64C0060">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E6330C"/>
    <w:multiLevelType w:val="hybridMultilevel"/>
    <w:tmpl w:val="4942BAE2"/>
    <w:lvl w:ilvl="0" w:tplc="1DEEA05E">
      <w:start w:val="1"/>
      <w:numFmt w:val="bullet"/>
      <w:lvlText w:val=""/>
      <w:lvlJc w:val="left"/>
      <w:pPr>
        <w:ind w:left="360" w:hanging="360"/>
      </w:pPr>
      <w:rPr>
        <w:rFonts w:ascii="Symbol" w:hAnsi="Symbol" w:hint="default"/>
        <w:color w:val="79BD9A"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4C6AEE"/>
    <w:multiLevelType w:val="hybridMultilevel"/>
    <w:tmpl w:val="CF5A42AE"/>
    <w:lvl w:ilvl="0" w:tplc="1F80DAF8">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FA7B41"/>
    <w:multiLevelType w:val="hybridMultilevel"/>
    <w:tmpl w:val="A68E3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670EA0"/>
    <w:multiLevelType w:val="hybridMultilevel"/>
    <w:tmpl w:val="ACBAF776"/>
    <w:lvl w:ilvl="0" w:tplc="1DEEA05E">
      <w:start w:val="1"/>
      <w:numFmt w:val="bullet"/>
      <w:lvlText w:val=""/>
      <w:lvlJc w:val="left"/>
      <w:pPr>
        <w:ind w:left="720" w:hanging="360"/>
      </w:pPr>
      <w:rPr>
        <w:rFonts w:ascii="Symbol" w:hAnsi="Symbol" w:hint="default"/>
        <w:color w:val="79BD9A"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45377B"/>
    <w:multiLevelType w:val="hybridMultilevel"/>
    <w:tmpl w:val="B7FA821E"/>
    <w:lvl w:ilvl="0" w:tplc="8B6E9CC4">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8" w15:restartNumberingAfterBreak="0">
    <w:nsid w:val="469A3761"/>
    <w:multiLevelType w:val="hybridMultilevel"/>
    <w:tmpl w:val="8AA69E30"/>
    <w:lvl w:ilvl="0" w:tplc="20189DE6">
      <w:start w:val="1"/>
      <w:numFmt w:val="bullet"/>
      <w:lvlText w:val=""/>
      <w:lvlJc w:val="left"/>
      <w:pPr>
        <w:ind w:left="360" w:hanging="360"/>
      </w:pPr>
      <w:rPr>
        <w:rFonts w:ascii="Symbol" w:hAnsi="Symbol" w:hint="default"/>
        <w:color w:val="3B868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452A2C"/>
    <w:multiLevelType w:val="hybridMultilevel"/>
    <w:tmpl w:val="0714E80E"/>
    <w:lvl w:ilvl="0" w:tplc="1DEEA05E">
      <w:start w:val="1"/>
      <w:numFmt w:val="bullet"/>
      <w:lvlText w:val=""/>
      <w:lvlJc w:val="left"/>
      <w:pPr>
        <w:ind w:left="1080" w:hanging="360"/>
      </w:pPr>
      <w:rPr>
        <w:rFonts w:ascii="Symbol" w:hAnsi="Symbol" w:hint="default"/>
        <w:color w:val="79BD9A" w:themeColor="accent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5AF5057"/>
    <w:multiLevelType w:val="hybridMultilevel"/>
    <w:tmpl w:val="B666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0535F4"/>
    <w:multiLevelType w:val="hybridMultilevel"/>
    <w:tmpl w:val="0CFEEA8A"/>
    <w:lvl w:ilvl="0" w:tplc="812AC34C">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390198"/>
    <w:multiLevelType w:val="hybridMultilevel"/>
    <w:tmpl w:val="C082CE18"/>
    <w:lvl w:ilvl="0" w:tplc="1736FAE2">
      <w:start w:val="1"/>
      <w:numFmt w:val="bullet"/>
      <w:lvlText w:val=""/>
      <w:lvlJc w:val="left"/>
      <w:pPr>
        <w:ind w:left="360" w:hanging="360"/>
      </w:pPr>
      <w:rPr>
        <w:rFonts w:ascii="Symbol" w:hAnsi="Symbol" w:hint="default"/>
        <w:color w:val="3B868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66E75A0"/>
    <w:multiLevelType w:val="hybridMultilevel"/>
    <w:tmpl w:val="B156D3CE"/>
    <w:lvl w:ilvl="0" w:tplc="03960D7E">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966EC3"/>
    <w:multiLevelType w:val="hybridMultilevel"/>
    <w:tmpl w:val="DF78B454"/>
    <w:lvl w:ilvl="0" w:tplc="1DEEA05E">
      <w:start w:val="1"/>
      <w:numFmt w:val="bullet"/>
      <w:lvlText w:val=""/>
      <w:lvlJc w:val="left"/>
      <w:pPr>
        <w:ind w:left="360" w:hanging="360"/>
      </w:pPr>
      <w:rPr>
        <w:rFonts w:ascii="Symbol" w:hAnsi="Symbol" w:hint="default"/>
        <w:color w:val="79BD9A"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842156B"/>
    <w:multiLevelType w:val="hybridMultilevel"/>
    <w:tmpl w:val="DF428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861035"/>
    <w:multiLevelType w:val="hybridMultilevel"/>
    <w:tmpl w:val="C7661A66"/>
    <w:lvl w:ilvl="0" w:tplc="1DEEA05E">
      <w:start w:val="1"/>
      <w:numFmt w:val="bullet"/>
      <w:lvlText w:val=""/>
      <w:lvlJc w:val="left"/>
      <w:pPr>
        <w:ind w:left="360" w:hanging="360"/>
      </w:pPr>
      <w:rPr>
        <w:rFonts w:ascii="Symbol" w:hAnsi="Symbol" w:hint="default"/>
        <w:color w:val="79BD9A"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276110D"/>
    <w:multiLevelType w:val="hybridMultilevel"/>
    <w:tmpl w:val="32A4126E"/>
    <w:lvl w:ilvl="0" w:tplc="1DEEA05E">
      <w:start w:val="1"/>
      <w:numFmt w:val="bullet"/>
      <w:lvlText w:val=""/>
      <w:lvlJc w:val="left"/>
      <w:pPr>
        <w:ind w:left="360" w:hanging="360"/>
      </w:pPr>
      <w:rPr>
        <w:rFonts w:ascii="Symbol" w:hAnsi="Symbol" w:hint="default"/>
        <w:color w:val="79BD9A"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857E4B"/>
    <w:multiLevelType w:val="hybridMultilevel"/>
    <w:tmpl w:val="CD1C6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926159"/>
    <w:multiLevelType w:val="hybridMultilevel"/>
    <w:tmpl w:val="9AB0E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D215087"/>
    <w:multiLevelType w:val="hybridMultilevel"/>
    <w:tmpl w:val="2C6CBB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8C3D4B"/>
    <w:multiLevelType w:val="hybridMultilevel"/>
    <w:tmpl w:val="A19453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8611EA"/>
    <w:multiLevelType w:val="hybridMultilevel"/>
    <w:tmpl w:val="84DC9256"/>
    <w:lvl w:ilvl="0" w:tplc="1DEEA05E">
      <w:start w:val="1"/>
      <w:numFmt w:val="bullet"/>
      <w:lvlText w:val=""/>
      <w:lvlJc w:val="left"/>
      <w:pPr>
        <w:ind w:left="360" w:hanging="360"/>
      </w:pPr>
      <w:rPr>
        <w:rFonts w:ascii="Symbol" w:hAnsi="Symbol" w:hint="default"/>
        <w:color w:val="79BD9A" w:themeColor="accen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087ABD"/>
    <w:multiLevelType w:val="hybridMultilevel"/>
    <w:tmpl w:val="D68AF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E57436"/>
    <w:multiLevelType w:val="hybridMultilevel"/>
    <w:tmpl w:val="39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2870AC"/>
    <w:multiLevelType w:val="hybridMultilevel"/>
    <w:tmpl w:val="AEE87FB8"/>
    <w:lvl w:ilvl="0" w:tplc="D2D25AC6">
      <w:start w:val="2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810036"/>
    <w:multiLevelType w:val="hybridMultilevel"/>
    <w:tmpl w:val="679AF2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7E46112C"/>
    <w:multiLevelType w:val="hybridMultilevel"/>
    <w:tmpl w:val="7736ACE8"/>
    <w:lvl w:ilvl="0" w:tplc="1DEEA05E">
      <w:start w:val="1"/>
      <w:numFmt w:val="bullet"/>
      <w:lvlText w:val=""/>
      <w:lvlJc w:val="left"/>
      <w:pPr>
        <w:ind w:left="360" w:hanging="360"/>
      </w:pPr>
      <w:rPr>
        <w:rFonts w:ascii="Symbol" w:hAnsi="Symbol" w:hint="default"/>
        <w:color w:val="79BD9A" w:themeColor="accent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727923538">
    <w:abstractNumId w:val="20"/>
  </w:num>
  <w:num w:numId="2" w16cid:durableId="1429422820">
    <w:abstractNumId w:val="0"/>
  </w:num>
  <w:num w:numId="3" w16cid:durableId="538935134">
    <w:abstractNumId w:val="24"/>
  </w:num>
  <w:num w:numId="4" w16cid:durableId="1264724488">
    <w:abstractNumId w:val="36"/>
  </w:num>
  <w:num w:numId="5" w16cid:durableId="3747338">
    <w:abstractNumId w:val="29"/>
  </w:num>
  <w:num w:numId="6" w16cid:durableId="1966498800">
    <w:abstractNumId w:val="6"/>
  </w:num>
  <w:num w:numId="7" w16cid:durableId="2014409625">
    <w:abstractNumId w:val="4"/>
  </w:num>
  <w:num w:numId="8" w16cid:durableId="1918056369">
    <w:abstractNumId w:val="33"/>
  </w:num>
  <w:num w:numId="9" w16cid:durableId="689255818">
    <w:abstractNumId w:val="3"/>
  </w:num>
  <w:num w:numId="10" w16cid:durableId="397672472">
    <w:abstractNumId w:val="11"/>
  </w:num>
  <w:num w:numId="11" w16cid:durableId="1340888293">
    <w:abstractNumId w:val="15"/>
  </w:num>
  <w:num w:numId="12" w16cid:durableId="1122921242">
    <w:abstractNumId w:val="25"/>
  </w:num>
  <w:num w:numId="13" w16cid:durableId="1251232993">
    <w:abstractNumId w:val="30"/>
  </w:num>
  <w:num w:numId="14" w16cid:durableId="1803427446">
    <w:abstractNumId w:val="31"/>
  </w:num>
  <w:num w:numId="15" w16cid:durableId="843664613">
    <w:abstractNumId w:val="28"/>
  </w:num>
  <w:num w:numId="16" w16cid:durableId="339550860">
    <w:abstractNumId w:val="9"/>
  </w:num>
  <w:num w:numId="17" w16cid:durableId="242182973">
    <w:abstractNumId w:val="21"/>
  </w:num>
  <w:num w:numId="18" w16cid:durableId="698043546">
    <w:abstractNumId w:val="12"/>
  </w:num>
  <w:num w:numId="19" w16cid:durableId="1207446010">
    <w:abstractNumId w:val="35"/>
  </w:num>
  <w:num w:numId="20" w16cid:durableId="509368846">
    <w:abstractNumId w:val="1"/>
  </w:num>
  <w:num w:numId="21" w16cid:durableId="1219974861">
    <w:abstractNumId w:val="14"/>
  </w:num>
  <w:num w:numId="22" w16cid:durableId="1230076370">
    <w:abstractNumId w:val="23"/>
  </w:num>
  <w:num w:numId="23" w16cid:durableId="1024328823">
    <w:abstractNumId w:val="34"/>
  </w:num>
  <w:num w:numId="24" w16cid:durableId="1530070792">
    <w:abstractNumId w:val="8"/>
  </w:num>
  <w:num w:numId="25" w16cid:durableId="1908614822">
    <w:abstractNumId w:val="19"/>
  </w:num>
  <w:num w:numId="26" w16cid:durableId="792141620">
    <w:abstractNumId w:val="16"/>
  </w:num>
  <w:num w:numId="27" w16cid:durableId="879711965">
    <w:abstractNumId w:val="10"/>
  </w:num>
  <w:num w:numId="28" w16cid:durableId="2103840037">
    <w:abstractNumId w:val="2"/>
  </w:num>
  <w:num w:numId="29" w16cid:durableId="1802453792">
    <w:abstractNumId w:val="27"/>
  </w:num>
  <w:num w:numId="30" w16cid:durableId="593974065">
    <w:abstractNumId w:val="17"/>
  </w:num>
  <w:num w:numId="31" w16cid:durableId="810051773">
    <w:abstractNumId w:val="26"/>
  </w:num>
  <w:num w:numId="32" w16cid:durableId="181091439">
    <w:abstractNumId w:val="13"/>
  </w:num>
  <w:num w:numId="33" w16cid:durableId="1248736345">
    <w:abstractNumId w:val="32"/>
  </w:num>
  <w:num w:numId="34" w16cid:durableId="1392122600">
    <w:abstractNumId w:val="5"/>
  </w:num>
  <w:num w:numId="35" w16cid:durableId="366108059">
    <w:abstractNumId w:val="7"/>
  </w:num>
  <w:num w:numId="36" w16cid:durableId="539169248">
    <w:abstractNumId w:val="37"/>
  </w:num>
  <w:num w:numId="37" w16cid:durableId="1336306213">
    <w:abstractNumId w:val="18"/>
  </w:num>
  <w:num w:numId="38" w16cid:durableId="10099863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36"/>
    <w:rsid w:val="00000F64"/>
    <w:rsid w:val="00002ECD"/>
    <w:rsid w:val="00003FC6"/>
    <w:rsid w:val="00006EEC"/>
    <w:rsid w:val="000131B9"/>
    <w:rsid w:val="000135FE"/>
    <w:rsid w:val="00015012"/>
    <w:rsid w:val="000210C1"/>
    <w:rsid w:val="00022805"/>
    <w:rsid w:val="00026AA0"/>
    <w:rsid w:val="00031FBB"/>
    <w:rsid w:val="00034C92"/>
    <w:rsid w:val="00040C48"/>
    <w:rsid w:val="00042A39"/>
    <w:rsid w:val="00045CF1"/>
    <w:rsid w:val="00053739"/>
    <w:rsid w:val="00054CBC"/>
    <w:rsid w:val="000658D5"/>
    <w:rsid w:val="00067735"/>
    <w:rsid w:val="000753BA"/>
    <w:rsid w:val="00075C73"/>
    <w:rsid w:val="000777D6"/>
    <w:rsid w:val="00077D4D"/>
    <w:rsid w:val="00080EFF"/>
    <w:rsid w:val="00084392"/>
    <w:rsid w:val="00085431"/>
    <w:rsid w:val="000860BE"/>
    <w:rsid w:val="000870C6"/>
    <w:rsid w:val="00090860"/>
    <w:rsid w:val="00090BE1"/>
    <w:rsid w:val="000912E8"/>
    <w:rsid w:val="00091D29"/>
    <w:rsid w:val="0009305A"/>
    <w:rsid w:val="000937CE"/>
    <w:rsid w:val="000972A7"/>
    <w:rsid w:val="000979D4"/>
    <w:rsid w:val="00097A0D"/>
    <w:rsid w:val="00097B32"/>
    <w:rsid w:val="000A2E2A"/>
    <w:rsid w:val="000A34A7"/>
    <w:rsid w:val="000A364A"/>
    <w:rsid w:val="000A65A7"/>
    <w:rsid w:val="000B3E65"/>
    <w:rsid w:val="000B4011"/>
    <w:rsid w:val="000B44AA"/>
    <w:rsid w:val="000B44E2"/>
    <w:rsid w:val="000B6DEE"/>
    <w:rsid w:val="000B7068"/>
    <w:rsid w:val="000B765E"/>
    <w:rsid w:val="000C34DF"/>
    <w:rsid w:val="000C4D9F"/>
    <w:rsid w:val="000C5652"/>
    <w:rsid w:val="000D05DE"/>
    <w:rsid w:val="000D0DA7"/>
    <w:rsid w:val="000D600F"/>
    <w:rsid w:val="000E4994"/>
    <w:rsid w:val="000E5798"/>
    <w:rsid w:val="000F17A0"/>
    <w:rsid w:val="000F47FA"/>
    <w:rsid w:val="000F6377"/>
    <w:rsid w:val="000F6946"/>
    <w:rsid w:val="00101496"/>
    <w:rsid w:val="0010157B"/>
    <w:rsid w:val="00104A36"/>
    <w:rsid w:val="00110077"/>
    <w:rsid w:val="001201B5"/>
    <w:rsid w:val="001218C3"/>
    <w:rsid w:val="001311B4"/>
    <w:rsid w:val="00133730"/>
    <w:rsid w:val="00136B43"/>
    <w:rsid w:val="00137594"/>
    <w:rsid w:val="00140910"/>
    <w:rsid w:val="0014120D"/>
    <w:rsid w:val="00141418"/>
    <w:rsid w:val="0014665E"/>
    <w:rsid w:val="00154607"/>
    <w:rsid w:val="00161CFB"/>
    <w:rsid w:val="0016532F"/>
    <w:rsid w:val="00165353"/>
    <w:rsid w:val="0017613F"/>
    <w:rsid w:val="00176537"/>
    <w:rsid w:val="001773EC"/>
    <w:rsid w:val="00180491"/>
    <w:rsid w:val="00183F68"/>
    <w:rsid w:val="0018423B"/>
    <w:rsid w:val="00187939"/>
    <w:rsid w:val="0019354A"/>
    <w:rsid w:val="00193AEE"/>
    <w:rsid w:val="00194C4F"/>
    <w:rsid w:val="00195B21"/>
    <w:rsid w:val="001A1E7D"/>
    <w:rsid w:val="001A6C2C"/>
    <w:rsid w:val="001A7189"/>
    <w:rsid w:val="001B0EC0"/>
    <w:rsid w:val="001B23D4"/>
    <w:rsid w:val="001B2FA6"/>
    <w:rsid w:val="001B3591"/>
    <w:rsid w:val="001B58E3"/>
    <w:rsid w:val="001B5A23"/>
    <w:rsid w:val="001B73D5"/>
    <w:rsid w:val="001C4FFE"/>
    <w:rsid w:val="001C6871"/>
    <w:rsid w:val="001D0427"/>
    <w:rsid w:val="001D7B52"/>
    <w:rsid w:val="001E189C"/>
    <w:rsid w:val="001E291F"/>
    <w:rsid w:val="001E32BE"/>
    <w:rsid w:val="001E410B"/>
    <w:rsid w:val="001E4F54"/>
    <w:rsid w:val="001E5ACD"/>
    <w:rsid w:val="001E65C7"/>
    <w:rsid w:val="001E7334"/>
    <w:rsid w:val="00204015"/>
    <w:rsid w:val="00204536"/>
    <w:rsid w:val="002055A5"/>
    <w:rsid w:val="00207E95"/>
    <w:rsid w:val="00210A84"/>
    <w:rsid w:val="0021127C"/>
    <w:rsid w:val="00214C7A"/>
    <w:rsid w:val="00214DB2"/>
    <w:rsid w:val="0021506B"/>
    <w:rsid w:val="00216E2E"/>
    <w:rsid w:val="00225C12"/>
    <w:rsid w:val="00226E52"/>
    <w:rsid w:val="0023024C"/>
    <w:rsid w:val="00231A12"/>
    <w:rsid w:val="002411F7"/>
    <w:rsid w:val="002445AD"/>
    <w:rsid w:val="0024519B"/>
    <w:rsid w:val="00250D67"/>
    <w:rsid w:val="00254582"/>
    <w:rsid w:val="00257F93"/>
    <w:rsid w:val="00262514"/>
    <w:rsid w:val="0026680B"/>
    <w:rsid w:val="00271BC4"/>
    <w:rsid w:val="00273B76"/>
    <w:rsid w:val="00274C66"/>
    <w:rsid w:val="002774FB"/>
    <w:rsid w:val="002816F1"/>
    <w:rsid w:val="00282315"/>
    <w:rsid w:val="002900F3"/>
    <w:rsid w:val="00293753"/>
    <w:rsid w:val="00294F5E"/>
    <w:rsid w:val="002A1B39"/>
    <w:rsid w:val="002A4D37"/>
    <w:rsid w:val="002A6A72"/>
    <w:rsid w:val="002B575D"/>
    <w:rsid w:val="002B594A"/>
    <w:rsid w:val="002B6464"/>
    <w:rsid w:val="002C16F6"/>
    <w:rsid w:val="002C4325"/>
    <w:rsid w:val="002D7A8C"/>
    <w:rsid w:val="002E513F"/>
    <w:rsid w:val="002E5640"/>
    <w:rsid w:val="002E68B3"/>
    <w:rsid w:val="002F0EFD"/>
    <w:rsid w:val="002F21C5"/>
    <w:rsid w:val="002F2F4C"/>
    <w:rsid w:val="002F33B1"/>
    <w:rsid w:val="002F65EC"/>
    <w:rsid w:val="002F77A5"/>
    <w:rsid w:val="00300B14"/>
    <w:rsid w:val="0030225B"/>
    <w:rsid w:val="00303D04"/>
    <w:rsid w:val="00312F9A"/>
    <w:rsid w:val="00312FC4"/>
    <w:rsid w:val="00315C6B"/>
    <w:rsid w:val="0032576E"/>
    <w:rsid w:val="00325A3E"/>
    <w:rsid w:val="00333513"/>
    <w:rsid w:val="003428B3"/>
    <w:rsid w:val="0035205D"/>
    <w:rsid w:val="0035454A"/>
    <w:rsid w:val="00354EED"/>
    <w:rsid w:val="00356CE8"/>
    <w:rsid w:val="00362027"/>
    <w:rsid w:val="0036518F"/>
    <w:rsid w:val="0036636D"/>
    <w:rsid w:val="0037076E"/>
    <w:rsid w:val="003768FB"/>
    <w:rsid w:val="00382A9E"/>
    <w:rsid w:val="003851CC"/>
    <w:rsid w:val="003856C0"/>
    <w:rsid w:val="00386C14"/>
    <w:rsid w:val="0038732A"/>
    <w:rsid w:val="00397F37"/>
    <w:rsid w:val="003A3B28"/>
    <w:rsid w:val="003A5F56"/>
    <w:rsid w:val="003A6EEA"/>
    <w:rsid w:val="003B3617"/>
    <w:rsid w:val="003B5B51"/>
    <w:rsid w:val="003C2E65"/>
    <w:rsid w:val="003C3370"/>
    <w:rsid w:val="003C39C2"/>
    <w:rsid w:val="003D04C2"/>
    <w:rsid w:val="003D518E"/>
    <w:rsid w:val="003D7D8C"/>
    <w:rsid w:val="003E27F7"/>
    <w:rsid w:val="003E3108"/>
    <w:rsid w:val="003E4FFE"/>
    <w:rsid w:val="003F0BE5"/>
    <w:rsid w:val="003F3CD5"/>
    <w:rsid w:val="003F4219"/>
    <w:rsid w:val="003F6180"/>
    <w:rsid w:val="003F6EE6"/>
    <w:rsid w:val="00403AF6"/>
    <w:rsid w:val="004042CB"/>
    <w:rsid w:val="00404B59"/>
    <w:rsid w:val="004061D0"/>
    <w:rsid w:val="00411145"/>
    <w:rsid w:val="00414803"/>
    <w:rsid w:val="00415681"/>
    <w:rsid w:val="004173BD"/>
    <w:rsid w:val="004249A0"/>
    <w:rsid w:val="004257CB"/>
    <w:rsid w:val="0043157A"/>
    <w:rsid w:val="004328D9"/>
    <w:rsid w:val="0043311E"/>
    <w:rsid w:val="00441496"/>
    <w:rsid w:val="00442B45"/>
    <w:rsid w:val="00447CC3"/>
    <w:rsid w:val="004501E4"/>
    <w:rsid w:val="004549B4"/>
    <w:rsid w:val="0045673A"/>
    <w:rsid w:val="00465D52"/>
    <w:rsid w:val="00470C10"/>
    <w:rsid w:val="00472924"/>
    <w:rsid w:val="0047362E"/>
    <w:rsid w:val="00473D77"/>
    <w:rsid w:val="00473ECF"/>
    <w:rsid w:val="00477131"/>
    <w:rsid w:val="00480B6F"/>
    <w:rsid w:val="00481CAC"/>
    <w:rsid w:val="00492C6E"/>
    <w:rsid w:val="004A0F92"/>
    <w:rsid w:val="004A1FD4"/>
    <w:rsid w:val="004A2CC6"/>
    <w:rsid w:val="004A46CF"/>
    <w:rsid w:val="004A48BE"/>
    <w:rsid w:val="004A62EF"/>
    <w:rsid w:val="004A7447"/>
    <w:rsid w:val="004B1024"/>
    <w:rsid w:val="004B1275"/>
    <w:rsid w:val="004B15CE"/>
    <w:rsid w:val="004B4280"/>
    <w:rsid w:val="004B652A"/>
    <w:rsid w:val="004B7792"/>
    <w:rsid w:val="004C1A44"/>
    <w:rsid w:val="004D03AA"/>
    <w:rsid w:val="004D0F20"/>
    <w:rsid w:val="004D12F3"/>
    <w:rsid w:val="004D1F5E"/>
    <w:rsid w:val="004D33B0"/>
    <w:rsid w:val="004D3E68"/>
    <w:rsid w:val="004D42BC"/>
    <w:rsid w:val="004E43F0"/>
    <w:rsid w:val="004F3952"/>
    <w:rsid w:val="004F62A7"/>
    <w:rsid w:val="005001C9"/>
    <w:rsid w:val="005022F1"/>
    <w:rsid w:val="00504D83"/>
    <w:rsid w:val="00507419"/>
    <w:rsid w:val="0050754A"/>
    <w:rsid w:val="00510DE0"/>
    <w:rsid w:val="00511C03"/>
    <w:rsid w:val="00512EB1"/>
    <w:rsid w:val="00515077"/>
    <w:rsid w:val="0051629B"/>
    <w:rsid w:val="005163F0"/>
    <w:rsid w:val="00516EFB"/>
    <w:rsid w:val="00517870"/>
    <w:rsid w:val="0052574D"/>
    <w:rsid w:val="0052636B"/>
    <w:rsid w:val="00526E6F"/>
    <w:rsid w:val="00534648"/>
    <w:rsid w:val="005356F7"/>
    <w:rsid w:val="005367E8"/>
    <w:rsid w:val="00537B23"/>
    <w:rsid w:val="005422F8"/>
    <w:rsid w:val="00543D2D"/>
    <w:rsid w:val="00550E45"/>
    <w:rsid w:val="00551E13"/>
    <w:rsid w:val="00551F2A"/>
    <w:rsid w:val="0055486C"/>
    <w:rsid w:val="00557271"/>
    <w:rsid w:val="00567CDC"/>
    <w:rsid w:val="00570F6D"/>
    <w:rsid w:val="00574E0A"/>
    <w:rsid w:val="00580932"/>
    <w:rsid w:val="00581A35"/>
    <w:rsid w:val="00583683"/>
    <w:rsid w:val="00587296"/>
    <w:rsid w:val="0058780C"/>
    <w:rsid w:val="00591B98"/>
    <w:rsid w:val="00593999"/>
    <w:rsid w:val="00595640"/>
    <w:rsid w:val="005A2026"/>
    <w:rsid w:val="005A2E46"/>
    <w:rsid w:val="005A5DCD"/>
    <w:rsid w:val="005A7CDF"/>
    <w:rsid w:val="005B0060"/>
    <w:rsid w:val="005B1520"/>
    <w:rsid w:val="005C0064"/>
    <w:rsid w:val="005C1FB8"/>
    <w:rsid w:val="005C2093"/>
    <w:rsid w:val="005C2655"/>
    <w:rsid w:val="005C2866"/>
    <w:rsid w:val="005C39D3"/>
    <w:rsid w:val="005C4EA1"/>
    <w:rsid w:val="005C685E"/>
    <w:rsid w:val="005D148E"/>
    <w:rsid w:val="005D1B60"/>
    <w:rsid w:val="005D3F3A"/>
    <w:rsid w:val="005D48CD"/>
    <w:rsid w:val="005D4F05"/>
    <w:rsid w:val="005E0F8E"/>
    <w:rsid w:val="005E1EEE"/>
    <w:rsid w:val="005E5F64"/>
    <w:rsid w:val="005E6C32"/>
    <w:rsid w:val="005F0995"/>
    <w:rsid w:val="005F249C"/>
    <w:rsid w:val="005F3181"/>
    <w:rsid w:val="005F4847"/>
    <w:rsid w:val="005F60EF"/>
    <w:rsid w:val="005F7F02"/>
    <w:rsid w:val="0060216A"/>
    <w:rsid w:val="00603786"/>
    <w:rsid w:val="006125E9"/>
    <w:rsid w:val="006175A4"/>
    <w:rsid w:val="0062051B"/>
    <w:rsid w:val="00627CA9"/>
    <w:rsid w:val="00636DC0"/>
    <w:rsid w:val="00637632"/>
    <w:rsid w:val="006377BF"/>
    <w:rsid w:val="00637829"/>
    <w:rsid w:val="00654B10"/>
    <w:rsid w:val="00655ACF"/>
    <w:rsid w:val="0066222C"/>
    <w:rsid w:val="00662D84"/>
    <w:rsid w:val="00674430"/>
    <w:rsid w:val="00674C6F"/>
    <w:rsid w:val="00676E50"/>
    <w:rsid w:val="006805B7"/>
    <w:rsid w:val="00685BDD"/>
    <w:rsid w:val="00686167"/>
    <w:rsid w:val="00687424"/>
    <w:rsid w:val="006904FE"/>
    <w:rsid w:val="00692F3F"/>
    <w:rsid w:val="00694CE5"/>
    <w:rsid w:val="006A66C0"/>
    <w:rsid w:val="006A6820"/>
    <w:rsid w:val="006B1965"/>
    <w:rsid w:val="006B573B"/>
    <w:rsid w:val="006C00B9"/>
    <w:rsid w:val="006C0A05"/>
    <w:rsid w:val="006C240D"/>
    <w:rsid w:val="006C5FE3"/>
    <w:rsid w:val="006C7089"/>
    <w:rsid w:val="006C757E"/>
    <w:rsid w:val="006D0C9C"/>
    <w:rsid w:val="006D5E61"/>
    <w:rsid w:val="006E19B5"/>
    <w:rsid w:val="006E2E3E"/>
    <w:rsid w:val="006E41E5"/>
    <w:rsid w:val="006E4C1A"/>
    <w:rsid w:val="006E6D70"/>
    <w:rsid w:val="006F068E"/>
    <w:rsid w:val="006F3D06"/>
    <w:rsid w:val="006F4CC5"/>
    <w:rsid w:val="006F74C5"/>
    <w:rsid w:val="0070084B"/>
    <w:rsid w:val="00701B13"/>
    <w:rsid w:val="00703017"/>
    <w:rsid w:val="007036CD"/>
    <w:rsid w:val="0070419D"/>
    <w:rsid w:val="007066BF"/>
    <w:rsid w:val="00707D83"/>
    <w:rsid w:val="0071012A"/>
    <w:rsid w:val="007115AD"/>
    <w:rsid w:val="007129E9"/>
    <w:rsid w:val="007149F2"/>
    <w:rsid w:val="00720D82"/>
    <w:rsid w:val="00724F68"/>
    <w:rsid w:val="00727AAC"/>
    <w:rsid w:val="00727BE0"/>
    <w:rsid w:val="007305BD"/>
    <w:rsid w:val="00732CEF"/>
    <w:rsid w:val="00734298"/>
    <w:rsid w:val="00735B39"/>
    <w:rsid w:val="00736476"/>
    <w:rsid w:val="0074136A"/>
    <w:rsid w:val="00741A4C"/>
    <w:rsid w:val="007464E3"/>
    <w:rsid w:val="00750939"/>
    <w:rsid w:val="00750B34"/>
    <w:rsid w:val="00750E1D"/>
    <w:rsid w:val="00753004"/>
    <w:rsid w:val="00753332"/>
    <w:rsid w:val="00753916"/>
    <w:rsid w:val="00756E2F"/>
    <w:rsid w:val="007579D4"/>
    <w:rsid w:val="00760AF8"/>
    <w:rsid w:val="00763049"/>
    <w:rsid w:val="00770DD1"/>
    <w:rsid w:val="00772BA2"/>
    <w:rsid w:val="00777507"/>
    <w:rsid w:val="00777D4A"/>
    <w:rsid w:val="00781873"/>
    <w:rsid w:val="00785558"/>
    <w:rsid w:val="007864D4"/>
    <w:rsid w:val="007936CA"/>
    <w:rsid w:val="007939BA"/>
    <w:rsid w:val="00794356"/>
    <w:rsid w:val="007A35F3"/>
    <w:rsid w:val="007A58E4"/>
    <w:rsid w:val="007B1C27"/>
    <w:rsid w:val="007B3E0C"/>
    <w:rsid w:val="007B5BD2"/>
    <w:rsid w:val="007C4807"/>
    <w:rsid w:val="007C5B4C"/>
    <w:rsid w:val="007D0F7D"/>
    <w:rsid w:val="007D1F2C"/>
    <w:rsid w:val="007D4152"/>
    <w:rsid w:val="007D64D5"/>
    <w:rsid w:val="007E7A99"/>
    <w:rsid w:val="007F0D51"/>
    <w:rsid w:val="007F1349"/>
    <w:rsid w:val="007F17C1"/>
    <w:rsid w:val="007F1A80"/>
    <w:rsid w:val="00800BF6"/>
    <w:rsid w:val="0080208E"/>
    <w:rsid w:val="00803000"/>
    <w:rsid w:val="008070F1"/>
    <w:rsid w:val="008103B3"/>
    <w:rsid w:val="00810FB9"/>
    <w:rsid w:val="00814377"/>
    <w:rsid w:val="00816BD4"/>
    <w:rsid w:val="00820647"/>
    <w:rsid w:val="0082140B"/>
    <w:rsid w:val="00822FAD"/>
    <w:rsid w:val="00824867"/>
    <w:rsid w:val="00834F6D"/>
    <w:rsid w:val="00841D62"/>
    <w:rsid w:val="00842879"/>
    <w:rsid w:val="0084519C"/>
    <w:rsid w:val="00846350"/>
    <w:rsid w:val="00854F41"/>
    <w:rsid w:val="00857572"/>
    <w:rsid w:val="00867845"/>
    <w:rsid w:val="00871165"/>
    <w:rsid w:val="008712DA"/>
    <w:rsid w:val="008738D8"/>
    <w:rsid w:val="008745BD"/>
    <w:rsid w:val="0087512B"/>
    <w:rsid w:val="008811E1"/>
    <w:rsid w:val="0088482A"/>
    <w:rsid w:val="008902F0"/>
    <w:rsid w:val="0089133E"/>
    <w:rsid w:val="00896107"/>
    <w:rsid w:val="008A2C16"/>
    <w:rsid w:val="008A30D6"/>
    <w:rsid w:val="008A3E1E"/>
    <w:rsid w:val="008A7EAA"/>
    <w:rsid w:val="008B0CEC"/>
    <w:rsid w:val="008B5F3E"/>
    <w:rsid w:val="008B7A00"/>
    <w:rsid w:val="008C2AA9"/>
    <w:rsid w:val="008C3423"/>
    <w:rsid w:val="008C348E"/>
    <w:rsid w:val="008C42D4"/>
    <w:rsid w:val="008C5D5C"/>
    <w:rsid w:val="008C6AEF"/>
    <w:rsid w:val="008C79B7"/>
    <w:rsid w:val="008D6C57"/>
    <w:rsid w:val="008E16CD"/>
    <w:rsid w:val="008E2B04"/>
    <w:rsid w:val="008E3FF6"/>
    <w:rsid w:val="008E7C3A"/>
    <w:rsid w:val="008F1F5C"/>
    <w:rsid w:val="008F259D"/>
    <w:rsid w:val="008F44A8"/>
    <w:rsid w:val="00900CF4"/>
    <w:rsid w:val="00904673"/>
    <w:rsid w:val="009074D1"/>
    <w:rsid w:val="00907B94"/>
    <w:rsid w:val="00907DF5"/>
    <w:rsid w:val="00907F2D"/>
    <w:rsid w:val="00912881"/>
    <w:rsid w:val="0091435F"/>
    <w:rsid w:val="00917C0F"/>
    <w:rsid w:val="00921940"/>
    <w:rsid w:val="00921CF8"/>
    <w:rsid w:val="0092239B"/>
    <w:rsid w:val="009239C5"/>
    <w:rsid w:val="00925926"/>
    <w:rsid w:val="00926093"/>
    <w:rsid w:val="0093075F"/>
    <w:rsid w:val="00931D21"/>
    <w:rsid w:val="0093582B"/>
    <w:rsid w:val="00936C39"/>
    <w:rsid w:val="009455D0"/>
    <w:rsid w:val="00950FA4"/>
    <w:rsid w:val="009619A3"/>
    <w:rsid w:val="00962BFB"/>
    <w:rsid w:val="00965EB2"/>
    <w:rsid w:val="00967833"/>
    <w:rsid w:val="00972C03"/>
    <w:rsid w:val="00973196"/>
    <w:rsid w:val="00974915"/>
    <w:rsid w:val="00982ED2"/>
    <w:rsid w:val="00984171"/>
    <w:rsid w:val="00984EE5"/>
    <w:rsid w:val="00985BCE"/>
    <w:rsid w:val="009876D8"/>
    <w:rsid w:val="0099361A"/>
    <w:rsid w:val="009946A4"/>
    <w:rsid w:val="00994CF2"/>
    <w:rsid w:val="009A041A"/>
    <w:rsid w:val="009A07EA"/>
    <w:rsid w:val="009A3521"/>
    <w:rsid w:val="009A370F"/>
    <w:rsid w:val="009A3E04"/>
    <w:rsid w:val="009A7531"/>
    <w:rsid w:val="009B00C4"/>
    <w:rsid w:val="009B0CA4"/>
    <w:rsid w:val="009B164B"/>
    <w:rsid w:val="009B17E8"/>
    <w:rsid w:val="009B1B9E"/>
    <w:rsid w:val="009B1C3B"/>
    <w:rsid w:val="009B23D6"/>
    <w:rsid w:val="009B2A25"/>
    <w:rsid w:val="009B47F9"/>
    <w:rsid w:val="009B4BC4"/>
    <w:rsid w:val="009B565A"/>
    <w:rsid w:val="009B7C7E"/>
    <w:rsid w:val="009C239F"/>
    <w:rsid w:val="009C2C59"/>
    <w:rsid w:val="009C701E"/>
    <w:rsid w:val="009D42A2"/>
    <w:rsid w:val="009D7771"/>
    <w:rsid w:val="009E2C3F"/>
    <w:rsid w:val="009F14FD"/>
    <w:rsid w:val="009F195D"/>
    <w:rsid w:val="009F4B5A"/>
    <w:rsid w:val="00A00164"/>
    <w:rsid w:val="00A00742"/>
    <w:rsid w:val="00A0678C"/>
    <w:rsid w:val="00A13D87"/>
    <w:rsid w:val="00A20A73"/>
    <w:rsid w:val="00A23B33"/>
    <w:rsid w:val="00A32AC6"/>
    <w:rsid w:val="00A347ED"/>
    <w:rsid w:val="00A4282A"/>
    <w:rsid w:val="00A5713C"/>
    <w:rsid w:val="00A57E6E"/>
    <w:rsid w:val="00A63EB6"/>
    <w:rsid w:val="00A65FC8"/>
    <w:rsid w:val="00A70497"/>
    <w:rsid w:val="00A73D11"/>
    <w:rsid w:val="00A75F52"/>
    <w:rsid w:val="00A82C8C"/>
    <w:rsid w:val="00A867B0"/>
    <w:rsid w:val="00A86C56"/>
    <w:rsid w:val="00A87ED3"/>
    <w:rsid w:val="00A91E0E"/>
    <w:rsid w:val="00A9363D"/>
    <w:rsid w:val="00A94799"/>
    <w:rsid w:val="00A94DF4"/>
    <w:rsid w:val="00A9749D"/>
    <w:rsid w:val="00AA09CD"/>
    <w:rsid w:val="00AA1396"/>
    <w:rsid w:val="00AA208F"/>
    <w:rsid w:val="00AA6E49"/>
    <w:rsid w:val="00AA6E83"/>
    <w:rsid w:val="00AA7075"/>
    <w:rsid w:val="00AB33AC"/>
    <w:rsid w:val="00AB5299"/>
    <w:rsid w:val="00AB5EB0"/>
    <w:rsid w:val="00AB6463"/>
    <w:rsid w:val="00AB674F"/>
    <w:rsid w:val="00AB7C86"/>
    <w:rsid w:val="00AC1513"/>
    <w:rsid w:val="00AC6E5E"/>
    <w:rsid w:val="00AD30AE"/>
    <w:rsid w:val="00AD60DC"/>
    <w:rsid w:val="00AE765B"/>
    <w:rsid w:val="00AF0CA2"/>
    <w:rsid w:val="00AF249E"/>
    <w:rsid w:val="00AF46C7"/>
    <w:rsid w:val="00AF5E3F"/>
    <w:rsid w:val="00AF73AE"/>
    <w:rsid w:val="00B0134A"/>
    <w:rsid w:val="00B01CC5"/>
    <w:rsid w:val="00B0502D"/>
    <w:rsid w:val="00B123B3"/>
    <w:rsid w:val="00B15547"/>
    <w:rsid w:val="00B158B2"/>
    <w:rsid w:val="00B16045"/>
    <w:rsid w:val="00B17809"/>
    <w:rsid w:val="00B2000A"/>
    <w:rsid w:val="00B2582E"/>
    <w:rsid w:val="00B261FE"/>
    <w:rsid w:val="00B26EFB"/>
    <w:rsid w:val="00B32145"/>
    <w:rsid w:val="00B359AD"/>
    <w:rsid w:val="00B36E13"/>
    <w:rsid w:val="00B377C0"/>
    <w:rsid w:val="00B404C3"/>
    <w:rsid w:val="00B404F1"/>
    <w:rsid w:val="00B4130D"/>
    <w:rsid w:val="00B416FE"/>
    <w:rsid w:val="00B4310B"/>
    <w:rsid w:val="00B4419A"/>
    <w:rsid w:val="00B47DD6"/>
    <w:rsid w:val="00B52F4F"/>
    <w:rsid w:val="00B628D7"/>
    <w:rsid w:val="00B64982"/>
    <w:rsid w:val="00B653EA"/>
    <w:rsid w:val="00B6737C"/>
    <w:rsid w:val="00B71CB2"/>
    <w:rsid w:val="00B72A14"/>
    <w:rsid w:val="00B75CE3"/>
    <w:rsid w:val="00B807BE"/>
    <w:rsid w:val="00B80D0E"/>
    <w:rsid w:val="00B814FB"/>
    <w:rsid w:val="00B87DF4"/>
    <w:rsid w:val="00B90A2A"/>
    <w:rsid w:val="00BA00A6"/>
    <w:rsid w:val="00BA095F"/>
    <w:rsid w:val="00BA0C47"/>
    <w:rsid w:val="00BA3742"/>
    <w:rsid w:val="00BA3D8C"/>
    <w:rsid w:val="00BA708E"/>
    <w:rsid w:val="00BB24A6"/>
    <w:rsid w:val="00BB262A"/>
    <w:rsid w:val="00BB2833"/>
    <w:rsid w:val="00BB5276"/>
    <w:rsid w:val="00BB7857"/>
    <w:rsid w:val="00BC51F3"/>
    <w:rsid w:val="00BD5A97"/>
    <w:rsid w:val="00BD6291"/>
    <w:rsid w:val="00BE162E"/>
    <w:rsid w:val="00BE1F87"/>
    <w:rsid w:val="00BE225B"/>
    <w:rsid w:val="00BF125F"/>
    <w:rsid w:val="00BF2F2D"/>
    <w:rsid w:val="00BF38DF"/>
    <w:rsid w:val="00BF39AE"/>
    <w:rsid w:val="00C01823"/>
    <w:rsid w:val="00C02E88"/>
    <w:rsid w:val="00C11977"/>
    <w:rsid w:val="00C11B03"/>
    <w:rsid w:val="00C11D25"/>
    <w:rsid w:val="00C14967"/>
    <w:rsid w:val="00C15E9E"/>
    <w:rsid w:val="00C162F1"/>
    <w:rsid w:val="00C211C0"/>
    <w:rsid w:val="00C211EB"/>
    <w:rsid w:val="00C26BEB"/>
    <w:rsid w:val="00C315CF"/>
    <w:rsid w:val="00C33357"/>
    <w:rsid w:val="00C4141B"/>
    <w:rsid w:val="00C417EE"/>
    <w:rsid w:val="00C41A79"/>
    <w:rsid w:val="00C41F64"/>
    <w:rsid w:val="00C433A7"/>
    <w:rsid w:val="00C45BEA"/>
    <w:rsid w:val="00C477D4"/>
    <w:rsid w:val="00C50221"/>
    <w:rsid w:val="00C5464B"/>
    <w:rsid w:val="00C54914"/>
    <w:rsid w:val="00C55617"/>
    <w:rsid w:val="00C55BE9"/>
    <w:rsid w:val="00C56FF8"/>
    <w:rsid w:val="00C60DA9"/>
    <w:rsid w:val="00C6138D"/>
    <w:rsid w:val="00C619D3"/>
    <w:rsid w:val="00C6298B"/>
    <w:rsid w:val="00C70ABB"/>
    <w:rsid w:val="00C7192E"/>
    <w:rsid w:val="00C75FF2"/>
    <w:rsid w:val="00C8283B"/>
    <w:rsid w:val="00C910FB"/>
    <w:rsid w:val="00C9652D"/>
    <w:rsid w:val="00C96BC0"/>
    <w:rsid w:val="00C9733A"/>
    <w:rsid w:val="00CA1C8B"/>
    <w:rsid w:val="00CA5C70"/>
    <w:rsid w:val="00CB0DD6"/>
    <w:rsid w:val="00CB22FC"/>
    <w:rsid w:val="00CB4934"/>
    <w:rsid w:val="00CB4D09"/>
    <w:rsid w:val="00CB77DD"/>
    <w:rsid w:val="00CB7DBF"/>
    <w:rsid w:val="00CC377E"/>
    <w:rsid w:val="00CC5156"/>
    <w:rsid w:val="00CC5199"/>
    <w:rsid w:val="00CC57C2"/>
    <w:rsid w:val="00CD0D0F"/>
    <w:rsid w:val="00CD34D3"/>
    <w:rsid w:val="00CD5217"/>
    <w:rsid w:val="00CD62F5"/>
    <w:rsid w:val="00CE07A9"/>
    <w:rsid w:val="00CE23AD"/>
    <w:rsid w:val="00CE4FBA"/>
    <w:rsid w:val="00CE56BF"/>
    <w:rsid w:val="00CF0544"/>
    <w:rsid w:val="00CF782C"/>
    <w:rsid w:val="00CF7843"/>
    <w:rsid w:val="00D05264"/>
    <w:rsid w:val="00D113D3"/>
    <w:rsid w:val="00D14D73"/>
    <w:rsid w:val="00D21A8C"/>
    <w:rsid w:val="00D23088"/>
    <w:rsid w:val="00D2695F"/>
    <w:rsid w:val="00D33888"/>
    <w:rsid w:val="00D35E15"/>
    <w:rsid w:val="00D36514"/>
    <w:rsid w:val="00D45E42"/>
    <w:rsid w:val="00D4647E"/>
    <w:rsid w:val="00D53B28"/>
    <w:rsid w:val="00D53C76"/>
    <w:rsid w:val="00D55421"/>
    <w:rsid w:val="00D56087"/>
    <w:rsid w:val="00D61D1B"/>
    <w:rsid w:val="00D62300"/>
    <w:rsid w:val="00D6372D"/>
    <w:rsid w:val="00D63768"/>
    <w:rsid w:val="00D63FDD"/>
    <w:rsid w:val="00D6630C"/>
    <w:rsid w:val="00D67091"/>
    <w:rsid w:val="00D6795A"/>
    <w:rsid w:val="00D70A5C"/>
    <w:rsid w:val="00D71418"/>
    <w:rsid w:val="00D72679"/>
    <w:rsid w:val="00D731F3"/>
    <w:rsid w:val="00D754C7"/>
    <w:rsid w:val="00D759FE"/>
    <w:rsid w:val="00D75D76"/>
    <w:rsid w:val="00D83F96"/>
    <w:rsid w:val="00D85FDE"/>
    <w:rsid w:val="00D8791A"/>
    <w:rsid w:val="00D9182B"/>
    <w:rsid w:val="00D94589"/>
    <w:rsid w:val="00DA001E"/>
    <w:rsid w:val="00DA1908"/>
    <w:rsid w:val="00DA55B6"/>
    <w:rsid w:val="00DA6101"/>
    <w:rsid w:val="00DA693B"/>
    <w:rsid w:val="00DB29BD"/>
    <w:rsid w:val="00DB2F7C"/>
    <w:rsid w:val="00DB3731"/>
    <w:rsid w:val="00DB3B5D"/>
    <w:rsid w:val="00DB4180"/>
    <w:rsid w:val="00DB4CA3"/>
    <w:rsid w:val="00DB592E"/>
    <w:rsid w:val="00DC0F14"/>
    <w:rsid w:val="00DC2225"/>
    <w:rsid w:val="00DD1286"/>
    <w:rsid w:val="00DD335A"/>
    <w:rsid w:val="00DD3427"/>
    <w:rsid w:val="00DD424D"/>
    <w:rsid w:val="00DD462C"/>
    <w:rsid w:val="00DD465B"/>
    <w:rsid w:val="00DE3A6E"/>
    <w:rsid w:val="00DE57C0"/>
    <w:rsid w:val="00DF3C82"/>
    <w:rsid w:val="00DF4408"/>
    <w:rsid w:val="00DF7E38"/>
    <w:rsid w:val="00E000FC"/>
    <w:rsid w:val="00E11413"/>
    <w:rsid w:val="00E15636"/>
    <w:rsid w:val="00E2106D"/>
    <w:rsid w:val="00E21D96"/>
    <w:rsid w:val="00E24EE0"/>
    <w:rsid w:val="00E2546D"/>
    <w:rsid w:val="00E378FA"/>
    <w:rsid w:val="00E40668"/>
    <w:rsid w:val="00E42CCF"/>
    <w:rsid w:val="00E45055"/>
    <w:rsid w:val="00E46F30"/>
    <w:rsid w:val="00E47431"/>
    <w:rsid w:val="00E50BB1"/>
    <w:rsid w:val="00E523F1"/>
    <w:rsid w:val="00E52C55"/>
    <w:rsid w:val="00E533D1"/>
    <w:rsid w:val="00E53C31"/>
    <w:rsid w:val="00E545DC"/>
    <w:rsid w:val="00E60E86"/>
    <w:rsid w:val="00E63F16"/>
    <w:rsid w:val="00E658D8"/>
    <w:rsid w:val="00E66418"/>
    <w:rsid w:val="00E71C8E"/>
    <w:rsid w:val="00E73F79"/>
    <w:rsid w:val="00E74F4B"/>
    <w:rsid w:val="00E77CE8"/>
    <w:rsid w:val="00E81A78"/>
    <w:rsid w:val="00E83F37"/>
    <w:rsid w:val="00E85544"/>
    <w:rsid w:val="00E87CA8"/>
    <w:rsid w:val="00EA2A9D"/>
    <w:rsid w:val="00EA391E"/>
    <w:rsid w:val="00EA6F93"/>
    <w:rsid w:val="00EB2859"/>
    <w:rsid w:val="00EB3303"/>
    <w:rsid w:val="00EC2BA4"/>
    <w:rsid w:val="00EC38E1"/>
    <w:rsid w:val="00EC3FEF"/>
    <w:rsid w:val="00ED78E6"/>
    <w:rsid w:val="00EE0DBC"/>
    <w:rsid w:val="00EE37F6"/>
    <w:rsid w:val="00EE49DF"/>
    <w:rsid w:val="00EE5B4D"/>
    <w:rsid w:val="00EE72BB"/>
    <w:rsid w:val="00EE77DA"/>
    <w:rsid w:val="00EF0FE8"/>
    <w:rsid w:val="00EF3031"/>
    <w:rsid w:val="00EF3982"/>
    <w:rsid w:val="00F014DF"/>
    <w:rsid w:val="00F1316C"/>
    <w:rsid w:val="00F14A98"/>
    <w:rsid w:val="00F16E99"/>
    <w:rsid w:val="00F2016D"/>
    <w:rsid w:val="00F23136"/>
    <w:rsid w:val="00F23EAB"/>
    <w:rsid w:val="00F24F5E"/>
    <w:rsid w:val="00F267D9"/>
    <w:rsid w:val="00F31A0C"/>
    <w:rsid w:val="00F31F96"/>
    <w:rsid w:val="00F32920"/>
    <w:rsid w:val="00F33837"/>
    <w:rsid w:val="00F34042"/>
    <w:rsid w:val="00F361DE"/>
    <w:rsid w:val="00F41D93"/>
    <w:rsid w:val="00F42E69"/>
    <w:rsid w:val="00F47859"/>
    <w:rsid w:val="00F520A7"/>
    <w:rsid w:val="00F5246D"/>
    <w:rsid w:val="00F563C1"/>
    <w:rsid w:val="00F61A8E"/>
    <w:rsid w:val="00F652F8"/>
    <w:rsid w:val="00F725D1"/>
    <w:rsid w:val="00F72EDC"/>
    <w:rsid w:val="00F7358A"/>
    <w:rsid w:val="00F73E91"/>
    <w:rsid w:val="00F74715"/>
    <w:rsid w:val="00F74ADD"/>
    <w:rsid w:val="00F80A28"/>
    <w:rsid w:val="00F81087"/>
    <w:rsid w:val="00F82416"/>
    <w:rsid w:val="00F85546"/>
    <w:rsid w:val="00F90E01"/>
    <w:rsid w:val="00F929E4"/>
    <w:rsid w:val="00FA0829"/>
    <w:rsid w:val="00FA0FC2"/>
    <w:rsid w:val="00FA4DE4"/>
    <w:rsid w:val="00FA5CAA"/>
    <w:rsid w:val="00FA7455"/>
    <w:rsid w:val="00FA79ED"/>
    <w:rsid w:val="00FB07B1"/>
    <w:rsid w:val="00FB256C"/>
    <w:rsid w:val="00FB3647"/>
    <w:rsid w:val="00FB3838"/>
    <w:rsid w:val="00FB5241"/>
    <w:rsid w:val="00FB738A"/>
    <w:rsid w:val="00FC06DC"/>
    <w:rsid w:val="00FC6D3B"/>
    <w:rsid w:val="00FD1186"/>
    <w:rsid w:val="00FD46C6"/>
    <w:rsid w:val="00FE5639"/>
    <w:rsid w:val="00FE5E69"/>
    <w:rsid w:val="00FE6A19"/>
    <w:rsid w:val="00FE6A1C"/>
    <w:rsid w:val="00FF40CF"/>
    <w:rsid w:val="00FF5AEF"/>
    <w:rsid w:val="00FF7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A460E"/>
  <w15:docId w15:val="{1DB9F2EA-B93E-4C20-9A37-C27CAE6A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Main headline"/>
    <w:basedOn w:val="Normal"/>
    <w:next w:val="Normal"/>
    <w:link w:val="Heading1Char"/>
    <w:uiPriority w:val="9"/>
    <w:qFormat/>
    <w:rsid w:val="00BB262A"/>
    <w:pPr>
      <w:keepNext/>
      <w:keepLines/>
      <w:outlineLvl w:val="0"/>
    </w:pPr>
    <w:rPr>
      <w:rFonts w:asciiTheme="majorHAnsi" w:eastAsiaTheme="majorEastAsia" w:hAnsiTheme="majorHAnsi" w:cstheme="majorBidi"/>
      <w:b/>
      <w:bCs/>
      <w:color w:val="3B8686" w:themeColor="accent1"/>
      <w:sz w:val="28"/>
      <w:szCs w:val="28"/>
    </w:rPr>
  </w:style>
  <w:style w:type="paragraph" w:styleId="Heading2">
    <w:name w:val="heading 2"/>
    <w:basedOn w:val="Normal"/>
    <w:next w:val="Normal"/>
    <w:link w:val="Heading2Char"/>
    <w:uiPriority w:val="9"/>
    <w:unhideWhenUsed/>
    <w:qFormat/>
    <w:rsid w:val="00C60DA9"/>
    <w:pPr>
      <w:keepNext/>
      <w:keepLines/>
      <w:spacing w:before="40"/>
      <w:outlineLvl w:val="1"/>
    </w:pPr>
    <w:rPr>
      <w:rFonts w:asciiTheme="majorHAnsi" w:eastAsiaTheme="majorEastAsia" w:hAnsiTheme="majorHAnsi" w:cstheme="majorBidi"/>
      <w:color w:val="2C6464" w:themeColor="accent1" w:themeShade="BF"/>
      <w:sz w:val="26"/>
      <w:szCs w:val="26"/>
    </w:rPr>
  </w:style>
  <w:style w:type="paragraph" w:styleId="Heading3">
    <w:name w:val="heading 3"/>
    <w:basedOn w:val="Normal"/>
    <w:next w:val="Normal"/>
    <w:link w:val="Heading3Char"/>
    <w:uiPriority w:val="9"/>
    <w:unhideWhenUsed/>
    <w:qFormat/>
    <w:rsid w:val="00800BF6"/>
    <w:pPr>
      <w:keepNext/>
      <w:keepLines/>
      <w:spacing w:before="40"/>
      <w:outlineLvl w:val="2"/>
    </w:pPr>
    <w:rPr>
      <w:rFonts w:asciiTheme="majorHAnsi" w:eastAsiaTheme="majorEastAsia" w:hAnsiTheme="majorHAnsi" w:cstheme="majorBidi"/>
      <w:color w:val="1D424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536"/>
    <w:pPr>
      <w:tabs>
        <w:tab w:val="center" w:pos="4513"/>
        <w:tab w:val="right" w:pos="9026"/>
      </w:tabs>
    </w:pPr>
  </w:style>
  <w:style w:type="character" w:customStyle="1" w:styleId="HeaderChar">
    <w:name w:val="Header Char"/>
    <w:basedOn w:val="DefaultParagraphFont"/>
    <w:link w:val="Header"/>
    <w:uiPriority w:val="99"/>
    <w:rsid w:val="00204536"/>
  </w:style>
  <w:style w:type="paragraph" w:styleId="Footer">
    <w:name w:val="footer"/>
    <w:basedOn w:val="Normal"/>
    <w:link w:val="FooterChar"/>
    <w:uiPriority w:val="99"/>
    <w:unhideWhenUsed/>
    <w:rsid w:val="00204536"/>
    <w:pPr>
      <w:tabs>
        <w:tab w:val="center" w:pos="4513"/>
        <w:tab w:val="right" w:pos="9026"/>
      </w:tabs>
    </w:pPr>
  </w:style>
  <w:style w:type="character" w:customStyle="1" w:styleId="FooterChar">
    <w:name w:val="Footer Char"/>
    <w:basedOn w:val="DefaultParagraphFont"/>
    <w:link w:val="Footer"/>
    <w:uiPriority w:val="99"/>
    <w:rsid w:val="00204536"/>
  </w:style>
  <w:style w:type="paragraph" w:styleId="BalloonText">
    <w:name w:val="Balloon Text"/>
    <w:basedOn w:val="Normal"/>
    <w:link w:val="BalloonTextChar"/>
    <w:uiPriority w:val="99"/>
    <w:semiHidden/>
    <w:unhideWhenUsed/>
    <w:rsid w:val="00204536"/>
    <w:rPr>
      <w:rFonts w:ascii="Tahoma" w:hAnsi="Tahoma" w:cs="Tahoma"/>
      <w:sz w:val="16"/>
      <w:szCs w:val="16"/>
    </w:rPr>
  </w:style>
  <w:style w:type="character" w:customStyle="1" w:styleId="BalloonTextChar">
    <w:name w:val="Balloon Text Char"/>
    <w:basedOn w:val="DefaultParagraphFont"/>
    <w:link w:val="BalloonText"/>
    <w:uiPriority w:val="99"/>
    <w:semiHidden/>
    <w:rsid w:val="00204536"/>
    <w:rPr>
      <w:rFonts w:ascii="Tahoma" w:hAnsi="Tahoma" w:cs="Tahoma"/>
      <w:sz w:val="16"/>
      <w:szCs w:val="16"/>
    </w:rPr>
  </w:style>
  <w:style w:type="table" w:styleId="TableGrid">
    <w:name w:val="Table Grid"/>
    <w:basedOn w:val="TableNormal"/>
    <w:uiPriority w:val="39"/>
    <w:rsid w:val="00CA5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C70"/>
    <w:rPr>
      <w:color w:val="4F81BD" w:themeColor="hyperlink"/>
      <w:u w:val="single"/>
    </w:rPr>
  </w:style>
  <w:style w:type="paragraph" w:styleId="NormalWeb">
    <w:name w:val="Normal (Web)"/>
    <w:basedOn w:val="Normal"/>
    <w:uiPriority w:val="99"/>
    <w:unhideWhenUsed/>
    <w:rsid w:val="00E11413"/>
    <w:pPr>
      <w:spacing w:before="100" w:beforeAutospacing="1" w:after="100" w:afterAutospacing="1"/>
    </w:pPr>
    <w:rPr>
      <w:rFonts w:ascii="Times" w:eastAsiaTheme="minorEastAsia" w:hAnsi="Times" w:cs="Times New Roman"/>
      <w:sz w:val="20"/>
      <w:szCs w:val="20"/>
    </w:rPr>
  </w:style>
  <w:style w:type="paragraph" w:styleId="ListParagraph">
    <w:name w:val="List Paragraph"/>
    <w:aliases w:val="List Paragraph1,List Paragraph11,Recommendation,1 heading,Bullet point,Bulleted Para,DDM Gen Text,Dot point 1.5 line spacing,FooterText,L,List Paragraph - bullets,List Paragraph2,NFP GP Bulleted List,bullet point list,numbered,列出段落,列出段落1"/>
    <w:basedOn w:val="Normal"/>
    <w:link w:val="ListParagraphChar"/>
    <w:uiPriority w:val="34"/>
    <w:qFormat/>
    <w:rsid w:val="00E11413"/>
    <w:pPr>
      <w:ind w:left="720"/>
      <w:contextualSpacing/>
    </w:pPr>
    <w:rPr>
      <w:sz w:val="24"/>
      <w:szCs w:val="24"/>
      <w:lang w:val="en-GB"/>
    </w:rPr>
  </w:style>
  <w:style w:type="character" w:customStyle="1" w:styleId="Heading1Char">
    <w:name w:val="Heading 1 Char"/>
    <w:aliases w:val="Main headline Char"/>
    <w:basedOn w:val="DefaultParagraphFont"/>
    <w:link w:val="Heading1"/>
    <w:uiPriority w:val="9"/>
    <w:rsid w:val="00BB262A"/>
    <w:rPr>
      <w:rFonts w:asciiTheme="majorHAnsi" w:eastAsiaTheme="majorEastAsia" w:hAnsiTheme="majorHAnsi" w:cstheme="majorBidi"/>
      <w:b/>
      <w:bCs/>
      <w:color w:val="3B8686" w:themeColor="accent1"/>
      <w:sz w:val="28"/>
      <w:szCs w:val="28"/>
    </w:rPr>
  </w:style>
  <w:style w:type="table" w:styleId="LightShading-Accent2">
    <w:name w:val="Light Shading Accent 2"/>
    <w:basedOn w:val="TableNormal"/>
    <w:uiPriority w:val="60"/>
    <w:rsid w:val="00473D77"/>
    <w:rPr>
      <w:color w:val="4C9B72" w:themeColor="accent2" w:themeShade="BF"/>
    </w:rPr>
    <w:tblPr>
      <w:tblStyleRowBandSize w:val="1"/>
      <w:tblStyleColBandSize w:val="1"/>
      <w:tblBorders>
        <w:top w:val="single" w:sz="8" w:space="0" w:color="79BD9A" w:themeColor="accent2"/>
        <w:bottom w:val="single" w:sz="8" w:space="0" w:color="79BD9A" w:themeColor="accent2"/>
      </w:tblBorders>
    </w:tblPr>
    <w:tblStylePr w:type="firstRow">
      <w:pPr>
        <w:spacing w:before="0" w:after="0" w:line="240" w:lineRule="auto"/>
      </w:pPr>
      <w:rPr>
        <w:b/>
        <w:bCs/>
      </w:rPr>
      <w:tblPr/>
      <w:tcPr>
        <w:tcBorders>
          <w:top w:val="single" w:sz="8" w:space="0" w:color="79BD9A" w:themeColor="accent2"/>
          <w:left w:val="nil"/>
          <w:bottom w:val="single" w:sz="8" w:space="0" w:color="79BD9A" w:themeColor="accent2"/>
          <w:right w:val="nil"/>
          <w:insideH w:val="nil"/>
          <w:insideV w:val="nil"/>
        </w:tcBorders>
      </w:tcPr>
    </w:tblStylePr>
    <w:tblStylePr w:type="lastRow">
      <w:pPr>
        <w:spacing w:before="0" w:after="0" w:line="240" w:lineRule="auto"/>
      </w:pPr>
      <w:rPr>
        <w:b/>
        <w:bCs/>
      </w:rPr>
      <w:tblPr/>
      <w:tcPr>
        <w:tcBorders>
          <w:top w:val="single" w:sz="8" w:space="0" w:color="79BD9A" w:themeColor="accent2"/>
          <w:left w:val="nil"/>
          <w:bottom w:val="single" w:sz="8" w:space="0" w:color="79BD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EE5" w:themeFill="accent2" w:themeFillTint="3F"/>
      </w:tcPr>
    </w:tblStylePr>
    <w:tblStylePr w:type="band1Horz">
      <w:tblPr/>
      <w:tcPr>
        <w:tcBorders>
          <w:left w:val="nil"/>
          <w:right w:val="nil"/>
          <w:insideH w:val="nil"/>
          <w:insideV w:val="nil"/>
        </w:tcBorders>
        <w:shd w:val="clear" w:color="auto" w:fill="DDEEE5" w:themeFill="accent2" w:themeFillTint="3F"/>
      </w:tcPr>
    </w:tblStylePr>
  </w:style>
  <w:style w:type="table" w:styleId="LightShading-Accent1">
    <w:name w:val="Light Shading Accent 1"/>
    <w:basedOn w:val="TableNormal"/>
    <w:uiPriority w:val="60"/>
    <w:rsid w:val="00473D77"/>
    <w:rPr>
      <w:color w:val="2C6464" w:themeColor="accent1" w:themeShade="BF"/>
    </w:rPr>
    <w:tblPr>
      <w:tblStyleRowBandSize w:val="1"/>
      <w:tblStyleColBandSize w:val="1"/>
      <w:tblBorders>
        <w:top w:val="single" w:sz="8" w:space="0" w:color="3B8686" w:themeColor="accent1"/>
        <w:bottom w:val="single" w:sz="8" w:space="0" w:color="3B8686" w:themeColor="accent1"/>
      </w:tblBorders>
    </w:tblPr>
    <w:tblStylePr w:type="firstRow">
      <w:pPr>
        <w:spacing w:before="0" w:after="0" w:line="240" w:lineRule="auto"/>
      </w:pPr>
      <w:rPr>
        <w:b/>
        <w:bCs/>
      </w:rPr>
      <w:tblPr/>
      <w:tcPr>
        <w:tcBorders>
          <w:top w:val="single" w:sz="8" w:space="0" w:color="3B8686" w:themeColor="accent1"/>
          <w:left w:val="nil"/>
          <w:bottom w:val="single" w:sz="8" w:space="0" w:color="3B8686" w:themeColor="accent1"/>
          <w:right w:val="nil"/>
          <w:insideH w:val="nil"/>
          <w:insideV w:val="nil"/>
        </w:tcBorders>
      </w:tcPr>
    </w:tblStylePr>
    <w:tblStylePr w:type="lastRow">
      <w:pPr>
        <w:spacing w:before="0" w:after="0" w:line="240" w:lineRule="auto"/>
      </w:pPr>
      <w:rPr>
        <w:b/>
        <w:bCs/>
      </w:rPr>
      <w:tblPr/>
      <w:tcPr>
        <w:tcBorders>
          <w:top w:val="single" w:sz="8" w:space="0" w:color="3B8686" w:themeColor="accent1"/>
          <w:left w:val="nil"/>
          <w:bottom w:val="single" w:sz="8" w:space="0" w:color="3B868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7E7" w:themeFill="accent1" w:themeFillTint="3F"/>
      </w:tcPr>
    </w:tblStylePr>
    <w:tblStylePr w:type="band1Horz">
      <w:tblPr/>
      <w:tcPr>
        <w:tcBorders>
          <w:left w:val="nil"/>
          <w:right w:val="nil"/>
          <w:insideH w:val="nil"/>
          <w:insideV w:val="nil"/>
        </w:tcBorders>
        <w:shd w:val="clear" w:color="auto" w:fill="C8E7E7" w:themeFill="accent1" w:themeFillTint="3F"/>
      </w:tcPr>
    </w:tblStylePr>
  </w:style>
  <w:style w:type="character" w:customStyle="1" w:styleId="Heading2Char">
    <w:name w:val="Heading 2 Char"/>
    <w:basedOn w:val="DefaultParagraphFont"/>
    <w:link w:val="Heading2"/>
    <w:uiPriority w:val="9"/>
    <w:rsid w:val="00C60DA9"/>
    <w:rPr>
      <w:rFonts w:asciiTheme="majorHAnsi" w:eastAsiaTheme="majorEastAsia" w:hAnsiTheme="majorHAnsi" w:cstheme="majorBidi"/>
      <w:color w:val="2C6464" w:themeColor="accent1" w:themeShade="BF"/>
      <w:sz w:val="26"/>
      <w:szCs w:val="26"/>
    </w:rPr>
  </w:style>
  <w:style w:type="paragraph" w:styleId="Title">
    <w:name w:val="Title"/>
    <w:basedOn w:val="Normal"/>
    <w:next w:val="Normal"/>
    <w:link w:val="TitleChar"/>
    <w:uiPriority w:val="10"/>
    <w:qFormat/>
    <w:rsid w:val="00BB262A"/>
    <w:pPr>
      <w:contextualSpacing/>
    </w:pPr>
    <w:rPr>
      <w:rFonts w:asciiTheme="majorHAnsi" w:eastAsiaTheme="majorEastAsia" w:hAnsiTheme="majorHAnsi" w:cstheme="majorBidi"/>
      <w:color w:val="0B486B" w:themeColor="text2"/>
      <w:spacing w:val="-10"/>
      <w:kern w:val="28"/>
      <w:sz w:val="44"/>
      <w:szCs w:val="56"/>
    </w:rPr>
  </w:style>
  <w:style w:type="character" w:customStyle="1" w:styleId="TitleChar">
    <w:name w:val="Title Char"/>
    <w:basedOn w:val="DefaultParagraphFont"/>
    <w:link w:val="Title"/>
    <w:uiPriority w:val="10"/>
    <w:rsid w:val="00BB262A"/>
    <w:rPr>
      <w:rFonts w:asciiTheme="majorHAnsi" w:eastAsiaTheme="majorEastAsia" w:hAnsiTheme="majorHAnsi" w:cstheme="majorBidi"/>
      <w:color w:val="0B486B" w:themeColor="text2"/>
      <w:spacing w:val="-10"/>
      <w:kern w:val="28"/>
      <w:sz w:val="44"/>
      <w:szCs w:val="56"/>
    </w:rPr>
  </w:style>
  <w:style w:type="character" w:customStyle="1" w:styleId="ListParagraphChar">
    <w:name w:val="List Paragraph Char"/>
    <w:aliases w:val="List Paragraph1 Char,List Paragraph11 Char,Recommendation Char,1 heading Char,Bullet point Char,Bulleted Para Char,DDM Gen Text Char,Dot point 1.5 line spacing Char,FooterText Char,L Char,List Paragraph - bullets Char,numbered Char"/>
    <w:link w:val="ListParagraph"/>
    <w:uiPriority w:val="34"/>
    <w:qFormat/>
    <w:locked/>
    <w:rsid w:val="00300B14"/>
    <w:rPr>
      <w:sz w:val="24"/>
      <w:szCs w:val="24"/>
      <w:lang w:val="en-GB"/>
    </w:rPr>
  </w:style>
  <w:style w:type="paragraph" w:styleId="FootnoteText">
    <w:name w:val="footnote text"/>
    <w:basedOn w:val="Normal"/>
    <w:link w:val="FootnoteTextChar"/>
    <w:uiPriority w:val="99"/>
    <w:semiHidden/>
    <w:unhideWhenUsed/>
    <w:rsid w:val="00B4130D"/>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B4130D"/>
    <w:rPr>
      <w:kern w:val="2"/>
      <w:sz w:val="20"/>
      <w:szCs w:val="20"/>
      <w14:ligatures w14:val="standardContextual"/>
    </w:rPr>
  </w:style>
  <w:style w:type="character" w:styleId="FootnoteReference">
    <w:name w:val="footnote reference"/>
    <w:basedOn w:val="DefaultParagraphFont"/>
    <w:uiPriority w:val="99"/>
    <w:semiHidden/>
    <w:unhideWhenUsed/>
    <w:rsid w:val="00B4130D"/>
    <w:rPr>
      <w:vertAlign w:val="superscript"/>
    </w:rPr>
  </w:style>
  <w:style w:type="character" w:styleId="FollowedHyperlink">
    <w:name w:val="FollowedHyperlink"/>
    <w:basedOn w:val="DefaultParagraphFont"/>
    <w:uiPriority w:val="99"/>
    <w:semiHidden/>
    <w:unhideWhenUsed/>
    <w:rsid w:val="00B4130D"/>
    <w:rPr>
      <w:color w:val="4BACC6" w:themeColor="followedHyperlink"/>
      <w:u w:val="single"/>
    </w:rPr>
  </w:style>
  <w:style w:type="character" w:styleId="UnresolvedMention">
    <w:name w:val="Unresolved Mention"/>
    <w:basedOn w:val="DefaultParagraphFont"/>
    <w:uiPriority w:val="99"/>
    <w:semiHidden/>
    <w:unhideWhenUsed/>
    <w:rsid w:val="00B4130D"/>
    <w:rPr>
      <w:color w:val="605E5C"/>
      <w:shd w:val="clear" w:color="auto" w:fill="E1DFDD"/>
    </w:rPr>
  </w:style>
  <w:style w:type="table" w:styleId="GridTable3-Accent2">
    <w:name w:val="Grid Table 3 Accent 2"/>
    <w:basedOn w:val="TableNormal"/>
    <w:uiPriority w:val="48"/>
    <w:rsid w:val="00B4130D"/>
    <w:tblPr>
      <w:tblStyleRowBandSize w:val="1"/>
      <w:tblStyleColBandSize w:val="1"/>
      <w:tblBorders>
        <w:top w:val="single" w:sz="4" w:space="0" w:color="AED7C2" w:themeColor="accent2" w:themeTint="99"/>
        <w:left w:val="single" w:sz="4" w:space="0" w:color="AED7C2" w:themeColor="accent2" w:themeTint="99"/>
        <w:bottom w:val="single" w:sz="4" w:space="0" w:color="AED7C2" w:themeColor="accent2" w:themeTint="99"/>
        <w:right w:val="single" w:sz="4" w:space="0" w:color="AED7C2" w:themeColor="accent2" w:themeTint="99"/>
        <w:insideH w:val="single" w:sz="4" w:space="0" w:color="AED7C2" w:themeColor="accent2" w:themeTint="99"/>
        <w:insideV w:val="single" w:sz="4" w:space="0" w:color="AED7C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1EA" w:themeFill="accent2" w:themeFillTint="33"/>
      </w:tcPr>
    </w:tblStylePr>
    <w:tblStylePr w:type="band1Horz">
      <w:tblPr/>
      <w:tcPr>
        <w:shd w:val="clear" w:color="auto" w:fill="E4F1EA" w:themeFill="accent2" w:themeFillTint="33"/>
      </w:tcPr>
    </w:tblStylePr>
    <w:tblStylePr w:type="neCell">
      <w:tblPr/>
      <w:tcPr>
        <w:tcBorders>
          <w:bottom w:val="single" w:sz="4" w:space="0" w:color="AED7C2" w:themeColor="accent2" w:themeTint="99"/>
        </w:tcBorders>
      </w:tcPr>
    </w:tblStylePr>
    <w:tblStylePr w:type="nwCell">
      <w:tblPr/>
      <w:tcPr>
        <w:tcBorders>
          <w:bottom w:val="single" w:sz="4" w:space="0" w:color="AED7C2" w:themeColor="accent2" w:themeTint="99"/>
        </w:tcBorders>
      </w:tcPr>
    </w:tblStylePr>
    <w:tblStylePr w:type="seCell">
      <w:tblPr/>
      <w:tcPr>
        <w:tcBorders>
          <w:top w:val="single" w:sz="4" w:space="0" w:color="AED7C2" w:themeColor="accent2" w:themeTint="99"/>
        </w:tcBorders>
      </w:tcPr>
    </w:tblStylePr>
    <w:tblStylePr w:type="swCell">
      <w:tblPr/>
      <w:tcPr>
        <w:tcBorders>
          <w:top w:val="single" w:sz="4" w:space="0" w:color="AED7C2" w:themeColor="accent2" w:themeTint="99"/>
        </w:tcBorders>
      </w:tcPr>
    </w:tblStylePr>
  </w:style>
  <w:style w:type="table" w:styleId="GridTable4-Accent1">
    <w:name w:val="Grid Table 4 Accent 1"/>
    <w:basedOn w:val="TableNormal"/>
    <w:uiPriority w:val="49"/>
    <w:rsid w:val="00B4130D"/>
    <w:tblPr>
      <w:tblStyleRowBandSize w:val="1"/>
      <w:tblStyleColBandSize w:val="1"/>
      <w:tblBorders>
        <w:top w:val="single" w:sz="4" w:space="0" w:color="7AC4C4" w:themeColor="accent1" w:themeTint="99"/>
        <w:left w:val="single" w:sz="4" w:space="0" w:color="7AC4C4" w:themeColor="accent1" w:themeTint="99"/>
        <w:bottom w:val="single" w:sz="4" w:space="0" w:color="7AC4C4" w:themeColor="accent1" w:themeTint="99"/>
        <w:right w:val="single" w:sz="4" w:space="0" w:color="7AC4C4" w:themeColor="accent1" w:themeTint="99"/>
        <w:insideH w:val="single" w:sz="4" w:space="0" w:color="7AC4C4" w:themeColor="accent1" w:themeTint="99"/>
        <w:insideV w:val="single" w:sz="4" w:space="0" w:color="7AC4C4" w:themeColor="accent1" w:themeTint="99"/>
      </w:tblBorders>
    </w:tblPr>
    <w:tblStylePr w:type="firstRow">
      <w:rPr>
        <w:b/>
        <w:bCs/>
        <w:color w:val="FFFFFF" w:themeColor="background1"/>
      </w:rPr>
      <w:tblPr/>
      <w:tcPr>
        <w:tcBorders>
          <w:top w:val="single" w:sz="4" w:space="0" w:color="3B8686" w:themeColor="accent1"/>
          <w:left w:val="single" w:sz="4" w:space="0" w:color="3B8686" w:themeColor="accent1"/>
          <w:bottom w:val="single" w:sz="4" w:space="0" w:color="3B8686" w:themeColor="accent1"/>
          <w:right w:val="single" w:sz="4" w:space="0" w:color="3B8686" w:themeColor="accent1"/>
          <w:insideH w:val="nil"/>
          <w:insideV w:val="nil"/>
        </w:tcBorders>
        <w:shd w:val="clear" w:color="auto" w:fill="3B8686" w:themeFill="accent1"/>
      </w:tcPr>
    </w:tblStylePr>
    <w:tblStylePr w:type="lastRow">
      <w:rPr>
        <w:b/>
        <w:bCs/>
      </w:rPr>
      <w:tblPr/>
      <w:tcPr>
        <w:tcBorders>
          <w:top w:val="double" w:sz="4" w:space="0" w:color="3B8686" w:themeColor="accent1"/>
        </w:tcBorders>
      </w:tcPr>
    </w:tblStylePr>
    <w:tblStylePr w:type="firstCol">
      <w:rPr>
        <w:b/>
        <w:bCs/>
      </w:rPr>
    </w:tblStylePr>
    <w:tblStylePr w:type="lastCol">
      <w:rPr>
        <w:b/>
        <w:bCs/>
      </w:rPr>
    </w:tblStylePr>
    <w:tblStylePr w:type="band1Vert">
      <w:tblPr/>
      <w:tcPr>
        <w:shd w:val="clear" w:color="auto" w:fill="D2EBEB" w:themeFill="accent1" w:themeFillTint="33"/>
      </w:tcPr>
    </w:tblStylePr>
    <w:tblStylePr w:type="band1Horz">
      <w:tblPr/>
      <w:tcPr>
        <w:shd w:val="clear" w:color="auto" w:fill="D2EBEB" w:themeFill="accent1" w:themeFillTint="33"/>
      </w:tcPr>
    </w:tblStylePr>
  </w:style>
  <w:style w:type="table" w:styleId="GridTable3-Accent1">
    <w:name w:val="Grid Table 3 Accent 1"/>
    <w:basedOn w:val="TableNormal"/>
    <w:uiPriority w:val="48"/>
    <w:rsid w:val="00B4130D"/>
    <w:tblPr>
      <w:tblStyleRowBandSize w:val="1"/>
      <w:tblStyleColBandSize w:val="1"/>
      <w:tblBorders>
        <w:top w:val="single" w:sz="4" w:space="0" w:color="7AC4C4" w:themeColor="accent1" w:themeTint="99"/>
        <w:left w:val="single" w:sz="4" w:space="0" w:color="7AC4C4" w:themeColor="accent1" w:themeTint="99"/>
        <w:bottom w:val="single" w:sz="4" w:space="0" w:color="7AC4C4" w:themeColor="accent1" w:themeTint="99"/>
        <w:right w:val="single" w:sz="4" w:space="0" w:color="7AC4C4" w:themeColor="accent1" w:themeTint="99"/>
        <w:insideH w:val="single" w:sz="4" w:space="0" w:color="7AC4C4" w:themeColor="accent1" w:themeTint="99"/>
        <w:insideV w:val="single" w:sz="4" w:space="0" w:color="7AC4C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BEB" w:themeFill="accent1" w:themeFillTint="33"/>
      </w:tcPr>
    </w:tblStylePr>
    <w:tblStylePr w:type="band1Horz">
      <w:tblPr/>
      <w:tcPr>
        <w:shd w:val="clear" w:color="auto" w:fill="D2EBEB" w:themeFill="accent1" w:themeFillTint="33"/>
      </w:tcPr>
    </w:tblStylePr>
    <w:tblStylePr w:type="neCell">
      <w:tblPr/>
      <w:tcPr>
        <w:tcBorders>
          <w:bottom w:val="single" w:sz="4" w:space="0" w:color="7AC4C4" w:themeColor="accent1" w:themeTint="99"/>
        </w:tcBorders>
      </w:tcPr>
    </w:tblStylePr>
    <w:tblStylePr w:type="nwCell">
      <w:tblPr/>
      <w:tcPr>
        <w:tcBorders>
          <w:bottom w:val="single" w:sz="4" w:space="0" w:color="7AC4C4" w:themeColor="accent1" w:themeTint="99"/>
        </w:tcBorders>
      </w:tcPr>
    </w:tblStylePr>
    <w:tblStylePr w:type="seCell">
      <w:tblPr/>
      <w:tcPr>
        <w:tcBorders>
          <w:top w:val="single" w:sz="4" w:space="0" w:color="7AC4C4" w:themeColor="accent1" w:themeTint="99"/>
        </w:tcBorders>
      </w:tcPr>
    </w:tblStylePr>
    <w:tblStylePr w:type="swCell">
      <w:tblPr/>
      <w:tcPr>
        <w:tcBorders>
          <w:top w:val="single" w:sz="4" w:space="0" w:color="7AC4C4" w:themeColor="accent1" w:themeTint="99"/>
        </w:tcBorders>
      </w:tcPr>
    </w:tblStylePr>
  </w:style>
  <w:style w:type="table" w:styleId="GridTable6ColourfulAccent1">
    <w:name w:val="Grid Table 6 Colorful Accent 1"/>
    <w:basedOn w:val="TableNormal"/>
    <w:uiPriority w:val="51"/>
    <w:rsid w:val="00B4130D"/>
    <w:rPr>
      <w:color w:val="2C6464" w:themeColor="accent1" w:themeShade="BF"/>
    </w:rPr>
    <w:tblPr>
      <w:tblStyleRowBandSize w:val="1"/>
      <w:tblStyleColBandSize w:val="1"/>
      <w:tblBorders>
        <w:top w:val="single" w:sz="4" w:space="0" w:color="7AC4C4" w:themeColor="accent1" w:themeTint="99"/>
        <w:left w:val="single" w:sz="4" w:space="0" w:color="7AC4C4" w:themeColor="accent1" w:themeTint="99"/>
        <w:bottom w:val="single" w:sz="4" w:space="0" w:color="7AC4C4" w:themeColor="accent1" w:themeTint="99"/>
        <w:right w:val="single" w:sz="4" w:space="0" w:color="7AC4C4" w:themeColor="accent1" w:themeTint="99"/>
        <w:insideH w:val="single" w:sz="4" w:space="0" w:color="7AC4C4" w:themeColor="accent1" w:themeTint="99"/>
        <w:insideV w:val="single" w:sz="4" w:space="0" w:color="7AC4C4" w:themeColor="accent1" w:themeTint="99"/>
      </w:tblBorders>
    </w:tblPr>
    <w:tblStylePr w:type="firstRow">
      <w:rPr>
        <w:b/>
        <w:bCs/>
      </w:rPr>
      <w:tblPr/>
      <w:tcPr>
        <w:tcBorders>
          <w:bottom w:val="single" w:sz="12" w:space="0" w:color="7AC4C4" w:themeColor="accent1" w:themeTint="99"/>
        </w:tcBorders>
      </w:tcPr>
    </w:tblStylePr>
    <w:tblStylePr w:type="lastRow">
      <w:rPr>
        <w:b/>
        <w:bCs/>
      </w:rPr>
      <w:tblPr/>
      <w:tcPr>
        <w:tcBorders>
          <w:top w:val="double" w:sz="4" w:space="0" w:color="7AC4C4" w:themeColor="accent1" w:themeTint="99"/>
        </w:tcBorders>
      </w:tcPr>
    </w:tblStylePr>
    <w:tblStylePr w:type="firstCol">
      <w:rPr>
        <w:b/>
        <w:bCs/>
      </w:rPr>
    </w:tblStylePr>
    <w:tblStylePr w:type="lastCol">
      <w:rPr>
        <w:b/>
        <w:bCs/>
      </w:rPr>
    </w:tblStylePr>
    <w:tblStylePr w:type="band1Vert">
      <w:tblPr/>
      <w:tcPr>
        <w:shd w:val="clear" w:color="auto" w:fill="D2EBEB" w:themeFill="accent1" w:themeFillTint="33"/>
      </w:tcPr>
    </w:tblStylePr>
    <w:tblStylePr w:type="band1Horz">
      <w:tblPr/>
      <w:tcPr>
        <w:shd w:val="clear" w:color="auto" w:fill="D2EBEB" w:themeFill="accent1" w:themeFillTint="33"/>
      </w:tcPr>
    </w:tblStylePr>
  </w:style>
  <w:style w:type="character" w:customStyle="1" w:styleId="Heading3Char">
    <w:name w:val="Heading 3 Char"/>
    <w:basedOn w:val="DefaultParagraphFont"/>
    <w:link w:val="Heading3"/>
    <w:uiPriority w:val="9"/>
    <w:rsid w:val="00800BF6"/>
    <w:rPr>
      <w:rFonts w:asciiTheme="majorHAnsi" w:eastAsiaTheme="majorEastAsia" w:hAnsiTheme="majorHAnsi" w:cstheme="majorBidi"/>
      <w:color w:val="1D4242" w:themeColor="accent1" w:themeShade="7F"/>
      <w:sz w:val="24"/>
      <w:szCs w:val="24"/>
    </w:rPr>
  </w:style>
  <w:style w:type="character" w:styleId="CommentReference">
    <w:name w:val="annotation reference"/>
    <w:basedOn w:val="DefaultParagraphFont"/>
    <w:uiPriority w:val="99"/>
    <w:semiHidden/>
    <w:unhideWhenUsed/>
    <w:rsid w:val="00CB4934"/>
    <w:rPr>
      <w:sz w:val="16"/>
      <w:szCs w:val="16"/>
    </w:rPr>
  </w:style>
  <w:style w:type="paragraph" w:styleId="CommentText">
    <w:name w:val="annotation text"/>
    <w:basedOn w:val="Normal"/>
    <w:link w:val="CommentTextChar"/>
    <w:uiPriority w:val="99"/>
    <w:semiHidden/>
    <w:unhideWhenUsed/>
    <w:rsid w:val="00CB4934"/>
    <w:rPr>
      <w:sz w:val="20"/>
      <w:szCs w:val="20"/>
    </w:rPr>
  </w:style>
  <w:style w:type="character" w:customStyle="1" w:styleId="CommentTextChar">
    <w:name w:val="Comment Text Char"/>
    <w:basedOn w:val="DefaultParagraphFont"/>
    <w:link w:val="CommentText"/>
    <w:uiPriority w:val="99"/>
    <w:semiHidden/>
    <w:rsid w:val="00CB4934"/>
    <w:rPr>
      <w:sz w:val="20"/>
      <w:szCs w:val="20"/>
    </w:rPr>
  </w:style>
  <w:style w:type="paragraph" w:styleId="CommentSubject">
    <w:name w:val="annotation subject"/>
    <w:basedOn w:val="CommentText"/>
    <w:next w:val="CommentText"/>
    <w:link w:val="CommentSubjectChar"/>
    <w:uiPriority w:val="99"/>
    <w:semiHidden/>
    <w:unhideWhenUsed/>
    <w:rsid w:val="00CB4934"/>
    <w:rPr>
      <w:b/>
      <w:bCs/>
    </w:rPr>
  </w:style>
  <w:style w:type="character" w:customStyle="1" w:styleId="CommentSubjectChar">
    <w:name w:val="Comment Subject Char"/>
    <w:basedOn w:val="CommentTextChar"/>
    <w:link w:val="CommentSubject"/>
    <w:uiPriority w:val="99"/>
    <w:semiHidden/>
    <w:rsid w:val="00CB4934"/>
    <w:rPr>
      <w:b/>
      <w:bCs/>
      <w:sz w:val="20"/>
      <w:szCs w:val="20"/>
    </w:rPr>
  </w:style>
  <w:style w:type="paragraph" w:styleId="Revision">
    <w:name w:val="Revision"/>
    <w:hidden/>
    <w:uiPriority w:val="99"/>
    <w:semiHidden/>
    <w:rsid w:val="009A370F"/>
  </w:style>
  <w:style w:type="paragraph" w:customStyle="1" w:styleId="Default">
    <w:name w:val="Default"/>
    <w:rsid w:val="00FA0829"/>
    <w:pPr>
      <w:autoSpaceDE w:val="0"/>
      <w:autoSpaceDN w:val="0"/>
      <w:adjustRightInd w:val="0"/>
    </w:pPr>
    <w:rPr>
      <w:rFonts w:ascii="Arial" w:hAnsi="Arial" w:cs="Arial"/>
      <w:color w:val="000000"/>
      <w:sz w:val="24"/>
      <w:szCs w:val="24"/>
      <w14:ligatures w14:val="standardContextual"/>
    </w:rPr>
  </w:style>
  <w:style w:type="character" w:customStyle="1" w:styleId="apple-converted-space">
    <w:name w:val="apple-converted-space"/>
    <w:basedOn w:val="DefaultParagraphFont"/>
    <w:rsid w:val="00930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0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UAA">
      <a:dk1>
        <a:sysClr val="windowText" lastClr="000000"/>
      </a:dk1>
      <a:lt1>
        <a:sysClr val="window" lastClr="FFFFFF"/>
      </a:lt1>
      <a:dk2>
        <a:srgbClr val="0B486B"/>
      </a:dk2>
      <a:lt2>
        <a:srgbClr val="F2F2F2"/>
      </a:lt2>
      <a:accent1>
        <a:srgbClr val="3B8686"/>
      </a:accent1>
      <a:accent2>
        <a:srgbClr val="79BD9A"/>
      </a:accent2>
      <a:accent3>
        <a:srgbClr val="9BBB59"/>
      </a:accent3>
      <a:accent4>
        <a:srgbClr val="A8DBA8"/>
      </a:accent4>
      <a:accent5>
        <a:srgbClr val="CFF09E"/>
      </a:accent5>
      <a:accent6>
        <a:srgbClr val="D7E3BC"/>
      </a:accent6>
      <a:hlink>
        <a:srgbClr val="4F81BD"/>
      </a:hlink>
      <a:folHlink>
        <a:srgbClr val="4BACC6"/>
      </a:folHlink>
    </a:clrScheme>
    <a:fontScheme name="EUAA">
      <a:majorFont>
        <a:latin typeface="Arial Black"/>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BCF5F62227641A9A942F44E2A88E4" ma:contentTypeVersion="10" ma:contentTypeDescription="Create a new document." ma:contentTypeScope="" ma:versionID="8afde5b88e5827d8222ab1598dd3ca86">
  <xsd:schema xmlns:xsd="http://www.w3.org/2001/XMLSchema" xmlns:xs="http://www.w3.org/2001/XMLSchema" xmlns:p="http://schemas.microsoft.com/office/2006/metadata/properties" xmlns:ns2="2adc9540-8a47-4778-b4f6-76eaa30e9309" xmlns:ns3="3dca84ea-da2f-4578-abb8-fb5bd289be68" targetNamespace="http://schemas.microsoft.com/office/2006/metadata/properties" ma:root="true" ma:fieldsID="8cb681c4a0a3457cbd3a524265b49474" ns2:_="" ns3:_="">
    <xsd:import namespace="2adc9540-8a47-4778-b4f6-76eaa30e9309"/>
    <xsd:import namespace="3dca84ea-da2f-4578-abb8-fb5bd289be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c9540-8a47-4778-b4f6-76eaa30e9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a84ea-da2f-4578-abb8-fb5bd289be6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EA2FA-32CF-4DAD-B056-B274D9046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c9540-8a47-4778-b4f6-76eaa30e9309"/>
    <ds:schemaRef ds:uri="3dca84ea-da2f-4578-abb8-fb5bd289b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7A3F1-4F23-2546-9B06-8D38D9E9A605}">
  <ds:schemaRefs>
    <ds:schemaRef ds:uri="http://schemas.openxmlformats.org/officeDocument/2006/bibliography"/>
  </ds:schemaRefs>
</ds:datastoreItem>
</file>

<file path=customXml/itemProps3.xml><?xml version="1.0" encoding="utf-8"?>
<ds:datastoreItem xmlns:ds="http://schemas.openxmlformats.org/officeDocument/2006/customXml" ds:itemID="{FA9D318F-B787-4FAA-B005-6B12EC0B6472}">
  <ds:schemaRefs>
    <ds:schemaRef ds:uri="http://schemas.microsoft.com/sharepoint/v3/contenttype/forms"/>
  </ds:schemaRefs>
</ds:datastoreItem>
</file>

<file path=customXml/itemProps4.xml><?xml version="1.0" encoding="utf-8"?>
<ds:datastoreItem xmlns:ds="http://schemas.openxmlformats.org/officeDocument/2006/customXml" ds:itemID="{1488061E-5EBD-41F6-B028-552A883271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NSW DCCEEW Opportunities for a renewable fuel industry in NSW Discussion Paper</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DCCEEW Opportunities for a renewable fuel industry in NSW Discussion Paper</dc:title>
  <dc:creator>DJBurgess</dc:creator>
  <dc:description>30 August 2024</dc:description>
  <cp:lastModifiedBy>Euaa Emily</cp:lastModifiedBy>
  <cp:revision>3</cp:revision>
  <cp:lastPrinted>2024-11-29T01:18:00Z</cp:lastPrinted>
  <dcterms:created xsi:type="dcterms:W3CDTF">2024-11-29T01:18:00Z</dcterms:created>
  <dcterms:modified xsi:type="dcterms:W3CDTF">2024-11-29T01:18:00Z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0x010100FD7BCF5F62227641A9A942F44E2A88E4</vt:lpwstr>
  </property>
</Properties>
</file>