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5855C" w14:textId="0EDDFA3F" w:rsidR="00CE23AD" w:rsidRPr="00BB262A" w:rsidRDefault="00CE23AD" w:rsidP="00BB262A">
      <w:pPr>
        <w:rPr>
          <w:rStyle w:val="Heading1Char"/>
        </w:rPr>
      </w:pPr>
    </w:p>
    <w:p w14:paraId="2ECEB85B" w14:textId="2D05510E" w:rsidR="00EA6F93" w:rsidRDefault="00274C66" w:rsidP="006C7089">
      <w:pPr>
        <w:pStyle w:val="Heading2"/>
        <w:rPr>
          <w:rStyle w:val="Heading1Char"/>
          <w:b w:val="0"/>
          <w:bCs w:val="0"/>
        </w:rPr>
      </w:pPr>
      <w:r>
        <w:rPr>
          <w:rStyle w:val="Heading1Char"/>
          <w:b w:val="0"/>
          <w:bCs w:val="0"/>
        </w:rPr>
        <w:fldChar w:fldCharType="begin"/>
      </w:r>
      <w:r>
        <w:rPr>
          <w:rStyle w:val="Heading1Char"/>
          <w:b w:val="0"/>
          <w:bCs w:val="0"/>
        </w:rPr>
        <w:instrText xml:space="preserve"> TITLE  \* Upper  \* MERGEFORMAT </w:instrText>
      </w:r>
      <w:r>
        <w:rPr>
          <w:rStyle w:val="Heading1Char"/>
          <w:b w:val="0"/>
          <w:bCs w:val="0"/>
        </w:rPr>
        <w:fldChar w:fldCharType="separate"/>
      </w:r>
      <w:r w:rsidR="003016E4">
        <w:rPr>
          <w:rStyle w:val="Heading1Char"/>
          <w:b w:val="0"/>
          <w:bCs w:val="0"/>
        </w:rPr>
        <w:t>AER: DRAFT NSW ELECTRICITY INFRASTRUCTURE FUND CONTRIBUTION DETERMINATION GUIDELINES</w:t>
      </w:r>
      <w:r>
        <w:rPr>
          <w:rStyle w:val="Heading1Char"/>
          <w:b w:val="0"/>
          <w:bCs w:val="0"/>
        </w:rPr>
        <w:fldChar w:fldCharType="end"/>
      </w:r>
    </w:p>
    <w:p w14:paraId="2805F9FC" w14:textId="478DAAD3" w:rsidR="006C7089" w:rsidRPr="006C7089" w:rsidRDefault="006377BF" w:rsidP="00E34CF3">
      <w:pPr>
        <w:pStyle w:val="Heading2"/>
        <w:spacing w:before="240"/>
        <w:rPr>
          <w:color w:val="79BD9A" w:themeColor="accent2"/>
        </w:rPr>
      </w:pPr>
      <w:r>
        <w:rPr>
          <w:color w:val="79BD9A" w:themeColor="accent2"/>
        </w:rPr>
        <w:fldChar w:fldCharType="begin"/>
      </w:r>
      <w:r>
        <w:rPr>
          <w:color w:val="79BD9A" w:themeColor="accent2"/>
        </w:rPr>
        <w:instrText xml:space="preserve"> COMMENTS  \* Upper  \* MERGEFORMAT </w:instrText>
      </w:r>
      <w:r>
        <w:rPr>
          <w:color w:val="79BD9A" w:themeColor="accent2"/>
        </w:rPr>
        <w:fldChar w:fldCharType="separate"/>
      </w:r>
      <w:r w:rsidR="003016E4">
        <w:rPr>
          <w:color w:val="79BD9A" w:themeColor="accent2"/>
        </w:rPr>
        <w:t>19 AUGUST 2026</w:t>
      </w:r>
      <w:r>
        <w:rPr>
          <w:color w:val="79BD9A" w:themeColor="accent2"/>
        </w:rPr>
        <w:fldChar w:fldCharType="end"/>
      </w:r>
    </w:p>
    <w:p w14:paraId="085400DB" w14:textId="77777777" w:rsidR="006C7089" w:rsidRDefault="006C7089" w:rsidP="006C7089"/>
    <w:p w14:paraId="431AF31C" w14:textId="77777777" w:rsidR="00A376A3" w:rsidRPr="00A376A3" w:rsidRDefault="00A376A3" w:rsidP="00A376A3">
      <w:pPr>
        <w:spacing w:line="276" w:lineRule="auto"/>
        <w:rPr>
          <w:rFonts w:cstheme="minorHAnsi"/>
        </w:rPr>
      </w:pPr>
      <w:r w:rsidRPr="00A376A3">
        <w:rPr>
          <w:rFonts w:cstheme="minorHAnsi"/>
        </w:rPr>
        <w:t xml:space="preserve">The AER’s </w:t>
      </w:r>
      <w:r w:rsidRPr="00A376A3">
        <w:rPr>
          <w:rFonts w:cstheme="minorHAnsi"/>
          <w:i/>
          <w:iCs/>
        </w:rPr>
        <w:t>2026 Draft NSW Electricity Infrastructure Fund Contribution Determination Guidelines</w:t>
      </w:r>
      <w:r w:rsidRPr="00A376A3">
        <w:rPr>
          <w:rFonts w:cstheme="minorHAnsi"/>
        </w:rPr>
        <w:t xml:space="preserve"> represent a significant evolution in the cost recovery framework underpinning the </w:t>
      </w:r>
      <w:r w:rsidRPr="00A376A3">
        <w:rPr>
          <w:rFonts w:cstheme="minorHAnsi"/>
          <w:i/>
          <w:iCs/>
        </w:rPr>
        <w:t>NSW Electricity Infrastructure Roadmap</w:t>
      </w:r>
      <w:r w:rsidRPr="00A376A3">
        <w:rPr>
          <w:rFonts w:cstheme="minorHAnsi"/>
        </w:rPr>
        <w:t>. As the Roadmap transitions from concept to construction, liabilities associated with REZ transmission, LTESA</w:t>
      </w:r>
      <w:r w:rsidRPr="00A376A3">
        <w:rPr>
          <w:rFonts w:cstheme="minorHAnsi"/>
        </w:rPr>
        <w:noBreakHyphen/>
        <w:t xml:space="preserve">supported generation and storage, and firming infrastructure are becoming material and recurring. The contribution determination is now the primary mechanism through which these costs are recovered from NSW electricity consumers, including large commercial and industrial (C&amp;I) users who fund the </w:t>
      </w:r>
      <w:proofErr w:type="gramStart"/>
      <w:r w:rsidRPr="00A376A3">
        <w:rPr>
          <w:rFonts w:cstheme="minorHAnsi"/>
        </w:rPr>
        <w:t>Roadmap</w:t>
      </w:r>
      <w:proofErr w:type="gramEnd"/>
      <w:r w:rsidRPr="00A376A3">
        <w:rPr>
          <w:rFonts w:cstheme="minorHAnsi"/>
        </w:rPr>
        <w:t xml:space="preserve"> through distribution tariffs irrespective of contracting strategy or behind</w:t>
      </w:r>
      <w:r w:rsidRPr="00A376A3">
        <w:rPr>
          <w:rFonts w:cstheme="minorHAnsi"/>
        </w:rPr>
        <w:noBreakHyphen/>
        <w:t>the</w:t>
      </w:r>
      <w:r w:rsidRPr="00A376A3">
        <w:rPr>
          <w:rFonts w:cstheme="minorHAnsi"/>
        </w:rPr>
        <w:noBreakHyphen/>
        <w:t>meter investment.</w:t>
      </w:r>
    </w:p>
    <w:p w14:paraId="09569281" w14:textId="77777777" w:rsidR="00A376A3" w:rsidRDefault="00A376A3" w:rsidP="00A376A3">
      <w:pPr>
        <w:spacing w:line="276" w:lineRule="auto"/>
        <w:rPr>
          <w:rFonts w:cstheme="minorHAnsi"/>
        </w:rPr>
      </w:pPr>
    </w:p>
    <w:p w14:paraId="7BED46A5" w14:textId="3215CC97" w:rsidR="00A376A3" w:rsidRDefault="00A376A3" w:rsidP="00A376A3">
      <w:pPr>
        <w:spacing w:line="276" w:lineRule="auto"/>
        <w:rPr>
          <w:rFonts w:cstheme="minorHAnsi"/>
        </w:rPr>
      </w:pPr>
      <w:r w:rsidRPr="00A376A3">
        <w:rPr>
          <w:rFonts w:cstheme="minorHAnsi"/>
        </w:rPr>
        <w:t>The EUAA supports transparency, disciplined risk allocation, and evidence</w:t>
      </w:r>
      <w:r w:rsidRPr="00A376A3">
        <w:rPr>
          <w:rFonts w:cstheme="minorHAnsi"/>
        </w:rPr>
        <w:noBreakHyphen/>
        <w:t>based regulatory design. However, the draft Guideline materially increases consumer cost exposure by expanding liquidity buffers, accelerating cost recovery, and embedding conservative assumptions across multiple risk components. The Minimum Prudent Cash Balance (MPCB) is now a major driver of contribution amounts, comprising buffers for counterparty default, timing mismatch, LTESA volatility, and network infrastructure uncertainty. While each component is individually justified, their cumulative effect frontloads cost recovery and positions consumers as the residual risk</w:t>
      </w:r>
      <w:r w:rsidRPr="00A376A3">
        <w:rPr>
          <w:rFonts w:cstheme="minorHAnsi"/>
        </w:rPr>
        <w:noBreakHyphen/>
        <w:t>bearer for risks introduced by policy design—particularly the 16</w:t>
      </w:r>
      <w:r w:rsidRPr="00A376A3">
        <w:rPr>
          <w:rFonts w:cstheme="minorHAnsi"/>
        </w:rPr>
        <w:noBreakHyphen/>
        <w:t>month DNSP remittance lag, which artificially inflates liquidity requirements.</w:t>
      </w:r>
    </w:p>
    <w:p w14:paraId="61791EC1" w14:textId="77777777" w:rsidR="00A376A3" w:rsidRPr="00A376A3" w:rsidRDefault="00A376A3" w:rsidP="00A376A3">
      <w:pPr>
        <w:spacing w:line="276" w:lineRule="auto"/>
        <w:rPr>
          <w:rFonts w:cstheme="minorHAnsi"/>
        </w:rPr>
      </w:pPr>
    </w:p>
    <w:p w14:paraId="58BC2119" w14:textId="6086C9B8" w:rsidR="00A376A3" w:rsidRDefault="00A376A3" w:rsidP="00A376A3">
      <w:pPr>
        <w:spacing w:line="276" w:lineRule="auto"/>
        <w:rPr>
          <w:rFonts w:cstheme="minorHAnsi"/>
        </w:rPr>
      </w:pPr>
      <w:r w:rsidRPr="00A376A3">
        <w:rPr>
          <w:rFonts w:cstheme="minorHAnsi"/>
        </w:rPr>
        <w:t>LTESA volatility buffers further increase consumer exposure by requiring funding not only for expected liabilities but also for high</w:t>
      </w:r>
      <w:r w:rsidRPr="00A376A3">
        <w:rPr>
          <w:rFonts w:cstheme="minorHAnsi"/>
        </w:rPr>
        <w:noBreakHyphen/>
        <w:t xml:space="preserve">impact downside scenarios. The basis for splitting LTESA costs into “generation” and “other” categories remains insufficiently transparent, with implications for EITE exemptions and cost redistribution. </w:t>
      </w:r>
      <w:r w:rsidR="00987FF6">
        <w:rPr>
          <w:rFonts w:cstheme="minorHAnsi"/>
        </w:rPr>
        <w:t xml:space="preserve"> </w:t>
      </w:r>
      <w:r w:rsidRPr="00A376A3">
        <w:rPr>
          <w:rFonts w:cstheme="minorHAnsi"/>
        </w:rPr>
        <w:t>Network infrastructure buffers introduce additional upward pressure as REZ transmission projects progress through construction, with cost variability expected to rise materially.</w:t>
      </w:r>
    </w:p>
    <w:p w14:paraId="5E5DDA42" w14:textId="77777777" w:rsidR="00987FF6" w:rsidRPr="00A376A3" w:rsidRDefault="00987FF6" w:rsidP="00A376A3">
      <w:pPr>
        <w:spacing w:line="276" w:lineRule="auto"/>
        <w:rPr>
          <w:rFonts w:cstheme="minorHAnsi"/>
        </w:rPr>
      </w:pPr>
    </w:p>
    <w:p w14:paraId="444EB158" w14:textId="3FF6CBA1" w:rsidR="00A376A3" w:rsidRDefault="00A376A3" w:rsidP="00A376A3">
      <w:pPr>
        <w:spacing w:line="276" w:lineRule="auto"/>
        <w:rPr>
          <w:rFonts w:cstheme="minorHAnsi"/>
        </w:rPr>
      </w:pPr>
      <w:r w:rsidRPr="00A376A3">
        <w:rPr>
          <w:rFonts w:cstheme="minorHAnsi"/>
        </w:rPr>
        <w:t>Structural issues in the NSW Government</w:t>
      </w:r>
      <w:r w:rsidRPr="00A376A3">
        <w:rPr>
          <w:rFonts w:cstheme="minorHAnsi"/>
        </w:rPr>
        <w:noBreakHyphen/>
        <w:t>set apportionment and exemption frameworks compound these impacts. Non</w:t>
      </w:r>
      <w:r w:rsidR="00987FF6">
        <w:rPr>
          <w:rFonts w:cstheme="minorHAnsi"/>
        </w:rPr>
        <w:t>-</w:t>
      </w:r>
      <w:r w:rsidRPr="00A376A3">
        <w:rPr>
          <w:rFonts w:cstheme="minorHAnsi"/>
        </w:rPr>
        <w:t>generation costs are allocated solely on peak demand, disproportionately affecting high</w:t>
      </w:r>
      <w:r w:rsidRPr="00A376A3">
        <w:rPr>
          <w:rFonts w:cstheme="minorHAnsi"/>
        </w:rPr>
        <w:noBreakHyphen/>
        <w:t>peak industrial loads. EITE exemptions apply only to generation</w:t>
      </w:r>
      <w:r w:rsidRPr="00A376A3">
        <w:rPr>
          <w:rFonts w:cstheme="minorHAnsi"/>
        </w:rPr>
        <w:noBreakHyphen/>
        <w:t>related LTESA costs, despite non</w:t>
      </w:r>
      <w:r w:rsidR="00987FF6">
        <w:rPr>
          <w:rFonts w:cstheme="minorHAnsi"/>
        </w:rPr>
        <w:t>-</w:t>
      </w:r>
      <w:r w:rsidRPr="00A376A3">
        <w:rPr>
          <w:rFonts w:cstheme="minorHAnsi"/>
        </w:rPr>
        <w:t>generation costs becoming the dominant Roadmap liability. Distribution</w:t>
      </w:r>
      <w:r w:rsidRPr="00A376A3">
        <w:rPr>
          <w:rFonts w:cstheme="minorHAnsi"/>
        </w:rPr>
        <w:noBreakHyphen/>
        <w:t>connected EITE facilities contribute to Roadmap costs while transmission</w:t>
      </w:r>
      <w:r w:rsidRPr="00A376A3">
        <w:rPr>
          <w:rFonts w:cstheme="minorHAnsi"/>
        </w:rPr>
        <w:noBreakHyphen/>
        <w:t>connected facilities do not, creating inequity. These design features risk undermining the policy intent of shielding trade</w:t>
      </w:r>
      <w:r w:rsidRPr="00A376A3">
        <w:rPr>
          <w:rFonts w:cstheme="minorHAnsi"/>
        </w:rPr>
        <w:noBreakHyphen/>
        <w:t>exposed industries from competitiveness</w:t>
      </w:r>
      <w:r w:rsidRPr="00A376A3">
        <w:rPr>
          <w:rFonts w:cstheme="minorHAnsi"/>
        </w:rPr>
        <w:noBreakHyphen/>
        <w:t>eroding electricity costs.</w:t>
      </w:r>
    </w:p>
    <w:p w14:paraId="55DE41F9" w14:textId="77777777" w:rsidR="00987FF6" w:rsidRPr="00A376A3" w:rsidRDefault="00987FF6" w:rsidP="00A376A3">
      <w:pPr>
        <w:spacing w:line="276" w:lineRule="auto"/>
        <w:rPr>
          <w:rFonts w:cstheme="minorHAnsi"/>
        </w:rPr>
      </w:pPr>
    </w:p>
    <w:p w14:paraId="19F66113" w14:textId="77777777" w:rsidR="00A376A3" w:rsidRDefault="00A376A3" w:rsidP="00A376A3">
      <w:pPr>
        <w:spacing w:line="276" w:lineRule="auto"/>
        <w:rPr>
          <w:rFonts w:cstheme="minorHAnsi"/>
        </w:rPr>
      </w:pPr>
      <w:r w:rsidRPr="00A376A3">
        <w:rPr>
          <w:rFonts w:cstheme="minorHAnsi"/>
        </w:rPr>
        <w:t>A further concern is the risk of double recovery if Roadmap</w:t>
      </w:r>
      <w:r w:rsidRPr="00A376A3">
        <w:rPr>
          <w:rFonts w:cstheme="minorHAnsi"/>
        </w:rPr>
        <w:noBreakHyphen/>
        <w:t xml:space="preserve">funded transmission assets are later added to a TNSP’s regulated asset base under the </w:t>
      </w:r>
      <w:r w:rsidRPr="00A376A3">
        <w:rPr>
          <w:rFonts w:cstheme="minorHAnsi"/>
          <w:i/>
          <w:iCs/>
        </w:rPr>
        <w:t>National Electricity Rules</w:t>
      </w:r>
      <w:r w:rsidRPr="00A376A3">
        <w:rPr>
          <w:rFonts w:cstheme="minorHAnsi"/>
        </w:rPr>
        <w:t>. Without explicit safeguards, consumers could pay twice for the same infrastructure.</w:t>
      </w:r>
    </w:p>
    <w:p w14:paraId="6ED7C29B" w14:textId="77777777" w:rsidR="00987FF6" w:rsidRPr="00A376A3" w:rsidRDefault="00987FF6" w:rsidP="00A376A3">
      <w:pPr>
        <w:spacing w:line="276" w:lineRule="auto"/>
        <w:rPr>
          <w:rFonts w:cstheme="minorHAnsi"/>
        </w:rPr>
      </w:pPr>
    </w:p>
    <w:p w14:paraId="25096652" w14:textId="73806986" w:rsidR="001E7334" w:rsidRDefault="00A376A3" w:rsidP="00B75CE3">
      <w:pPr>
        <w:spacing w:line="276" w:lineRule="auto"/>
        <w:rPr>
          <w:highlight w:val="yellow"/>
        </w:rPr>
      </w:pPr>
      <w:r w:rsidRPr="00A376A3">
        <w:rPr>
          <w:rFonts w:cstheme="minorHAnsi"/>
        </w:rPr>
        <w:t>The EUAA recommends recalibrating liquidity buffers, improving transparency, aligning cost allocation with beneficiaries, reviewing exemption pathways, reforming DNSP remittance schedules, and ensuring Roadmap</w:t>
      </w:r>
      <w:r w:rsidRPr="00A376A3">
        <w:rPr>
          <w:rFonts w:cstheme="minorHAnsi"/>
        </w:rPr>
        <w:noBreakHyphen/>
        <w:t xml:space="preserve">funded assets are excluded from the RAB. These measures are essential to maintain fairness, efficiency, and confidence in the </w:t>
      </w:r>
      <w:proofErr w:type="gramStart"/>
      <w:r w:rsidRPr="00A376A3">
        <w:rPr>
          <w:rFonts w:cstheme="minorHAnsi"/>
        </w:rPr>
        <w:t>Roadmap’s</w:t>
      </w:r>
      <w:proofErr w:type="gramEnd"/>
      <w:r w:rsidRPr="00A376A3">
        <w:rPr>
          <w:rFonts w:cstheme="minorHAnsi"/>
        </w:rPr>
        <w:t xml:space="preserve"> cost recovery framework.</w:t>
      </w:r>
    </w:p>
    <w:sectPr w:rsidR="001E7334" w:rsidSect="00672DA4">
      <w:headerReference w:type="default" r:id="rId11"/>
      <w:footerReference w:type="default" r:id="rId12"/>
      <w:headerReference w:type="first" r:id="rId13"/>
      <w:footerReference w:type="first" r:id="rId14"/>
      <w:pgSz w:w="11906" w:h="16838" w:code="9"/>
      <w:pgMar w:top="1560" w:right="680" w:bottom="851" w:left="851" w:header="284" w:footer="4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55FF3" w14:textId="77777777" w:rsidR="00607AEB" w:rsidRDefault="00607AEB" w:rsidP="00204536">
      <w:r>
        <w:separator/>
      </w:r>
    </w:p>
  </w:endnote>
  <w:endnote w:type="continuationSeparator" w:id="0">
    <w:p w14:paraId="3D9CD89D" w14:textId="77777777" w:rsidR="00607AEB" w:rsidRDefault="00607AEB" w:rsidP="00204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0C5FA" w14:textId="46B387BD" w:rsidR="00F520A7" w:rsidRDefault="00300B14" w:rsidP="00907DF5">
    <w:pPr>
      <w:pStyle w:val="Footer"/>
      <w:tabs>
        <w:tab w:val="clear" w:pos="4513"/>
        <w:tab w:val="clear" w:pos="9026"/>
        <w:tab w:val="right" w:pos="10348"/>
      </w:tabs>
      <w:rPr>
        <w:color w:val="0B486B" w:themeColor="text2"/>
        <w:sz w:val="16"/>
        <w:szCs w:val="16"/>
      </w:rPr>
    </w:pPr>
    <w:r>
      <w:rPr>
        <w:color w:val="0B486B" w:themeColor="text2"/>
        <w:sz w:val="16"/>
        <w:szCs w:val="16"/>
      </w:rPr>
      <w:t xml:space="preserve">EUAA </w:t>
    </w:r>
    <w:r w:rsidR="003016E4">
      <w:rPr>
        <w:color w:val="0B486B" w:themeColor="text2"/>
        <w:sz w:val="16"/>
        <w:szCs w:val="16"/>
      </w:rPr>
      <w:t>POLICY POSITION</w:t>
    </w:r>
    <w:r>
      <w:rPr>
        <w:color w:val="0B486B" w:themeColor="text2"/>
        <w:sz w:val="16"/>
        <w:szCs w:val="16"/>
      </w:rPr>
      <w:t>:</w:t>
    </w:r>
    <w:r w:rsidR="003347F2">
      <w:rPr>
        <w:color w:val="0B486B" w:themeColor="text2"/>
        <w:sz w:val="16"/>
        <w:szCs w:val="16"/>
      </w:rPr>
      <w:t xml:space="preserve"> </w:t>
    </w:r>
    <w:r w:rsidR="00637632" w:rsidRPr="00405FED">
      <w:rPr>
        <w:i/>
        <w:iCs/>
        <w:color w:val="0B486B" w:themeColor="text2"/>
        <w:sz w:val="16"/>
        <w:szCs w:val="16"/>
      </w:rPr>
      <w:fldChar w:fldCharType="begin"/>
    </w:r>
    <w:r w:rsidR="00637632" w:rsidRPr="00405FED">
      <w:rPr>
        <w:i/>
        <w:iCs/>
        <w:color w:val="0B486B" w:themeColor="text2"/>
        <w:sz w:val="16"/>
        <w:szCs w:val="16"/>
      </w:rPr>
      <w:instrText xml:space="preserve"> TITLE  \* Upper  \* MERGEFORMAT </w:instrText>
    </w:r>
    <w:r w:rsidR="00637632" w:rsidRPr="00405FED">
      <w:rPr>
        <w:i/>
        <w:iCs/>
        <w:color w:val="0B486B" w:themeColor="text2"/>
        <w:sz w:val="16"/>
        <w:szCs w:val="16"/>
      </w:rPr>
      <w:fldChar w:fldCharType="separate"/>
    </w:r>
    <w:r w:rsidR="003016E4">
      <w:rPr>
        <w:i/>
        <w:iCs/>
        <w:color w:val="0B486B" w:themeColor="text2"/>
        <w:sz w:val="16"/>
        <w:szCs w:val="16"/>
      </w:rPr>
      <w:t>AER: DRAFT NSW ELECTRICITY INFRASTRUCTURE FUND CONTRIBUTION DETERMINATION GUIDELINES</w:t>
    </w:r>
    <w:r w:rsidR="00637632" w:rsidRPr="00405FED">
      <w:rPr>
        <w:i/>
        <w:iCs/>
        <w:color w:val="0B486B" w:themeColor="text2"/>
        <w:sz w:val="16"/>
        <w:szCs w:val="16"/>
      </w:rPr>
      <w:fldChar w:fldCharType="end"/>
    </w:r>
    <w:r>
      <w:rPr>
        <w:color w:val="0B486B" w:themeColor="text2"/>
        <w:sz w:val="16"/>
        <w:szCs w:val="16"/>
      </w:rPr>
      <w:t>|</w:t>
    </w:r>
    <w:r w:rsidR="003F4219">
      <w:rPr>
        <w:color w:val="0B486B" w:themeColor="text2"/>
        <w:sz w:val="16"/>
        <w:szCs w:val="16"/>
      </w:rPr>
      <w:t xml:space="preserve"> </w:t>
    </w:r>
    <w:r w:rsidR="003F4219">
      <w:rPr>
        <w:color w:val="0B486B" w:themeColor="text2"/>
        <w:sz w:val="16"/>
        <w:szCs w:val="16"/>
      </w:rPr>
      <w:fldChar w:fldCharType="begin"/>
    </w:r>
    <w:r w:rsidR="003F4219">
      <w:rPr>
        <w:color w:val="0B486B" w:themeColor="text2"/>
        <w:sz w:val="16"/>
        <w:szCs w:val="16"/>
      </w:rPr>
      <w:instrText xml:space="preserve"> COMMENTS  \* Upper  \* MERGEFORMAT </w:instrText>
    </w:r>
    <w:r w:rsidR="003F4219">
      <w:rPr>
        <w:color w:val="0B486B" w:themeColor="text2"/>
        <w:sz w:val="16"/>
        <w:szCs w:val="16"/>
      </w:rPr>
      <w:fldChar w:fldCharType="separate"/>
    </w:r>
    <w:r w:rsidR="003016E4">
      <w:rPr>
        <w:color w:val="0B486B" w:themeColor="text2"/>
        <w:sz w:val="16"/>
        <w:szCs w:val="16"/>
      </w:rPr>
      <w:t>19 AUGUST 2026</w:t>
    </w:r>
    <w:r w:rsidR="003F4219">
      <w:rPr>
        <w:color w:val="0B486B" w:themeColor="text2"/>
        <w:sz w:val="16"/>
        <w:szCs w:val="16"/>
      </w:rPr>
      <w:fldChar w:fldCharType="end"/>
    </w:r>
  </w:p>
  <w:p w14:paraId="3F9E18A2" w14:textId="46774221" w:rsidR="00E11413" w:rsidRPr="00E11413" w:rsidRDefault="00E11413" w:rsidP="00907DF5">
    <w:pPr>
      <w:pStyle w:val="Footer"/>
      <w:tabs>
        <w:tab w:val="clear" w:pos="4513"/>
        <w:tab w:val="clear" w:pos="9026"/>
        <w:tab w:val="right" w:pos="10348"/>
      </w:tabs>
      <w:rPr>
        <w:color w:val="0B486B" w:themeColor="text2"/>
        <w:sz w:val="16"/>
        <w:szCs w:val="16"/>
      </w:rPr>
    </w:pPr>
    <w:r w:rsidRPr="00CF7843">
      <w:rPr>
        <w:color w:val="0B486B" w:themeColor="text2"/>
        <w:sz w:val="16"/>
        <w:szCs w:val="16"/>
      </w:rPr>
      <w:tab/>
      <w:t xml:space="preserve">Page </w:t>
    </w:r>
    <w:r w:rsidRPr="00CF7843">
      <w:rPr>
        <w:color w:val="0B486B" w:themeColor="text2"/>
        <w:sz w:val="16"/>
        <w:szCs w:val="16"/>
      </w:rPr>
      <w:fldChar w:fldCharType="begin"/>
    </w:r>
    <w:r w:rsidRPr="00CF7843">
      <w:rPr>
        <w:color w:val="0B486B" w:themeColor="text2"/>
        <w:sz w:val="16"/>
        <w:szCs w:val="16"/>
      </w:rPr>
      <w:instrText xml:space="preserve"> PAGE  \* Arabic  \* MERGEFORMAT </w:instrText>
    </w:r>
    <w:r w:rsidRPr="00CF7843">
      <w:rPr>
        <w:color w:val="0B486B" w:themeColor="text2"/>
        <w:sz w:val="16"/>
        <w:szCs w:val="16"/>
      </w:rPr>
      <w:fldChar w:fldCharType="separate"/>
    </w:r>
    <w:r w:rsidR="002055A5">
      <w:rPr>
        <w:noProof/>
        <w:color w:val="0B486B" w:themeColor="text2"/>
        <w:sz w:val="16"/>
        <w:szCs w:val="16"/>
      </w:rPr>
      <w:t>1</w:t>
    </w:r>
    <w:r w:rsidRPr="00CF7843">
      <w:rPr>
        <w:color w:val="0B486B" w:themeColor="text2"/>
        <w:sz w:val="16"/>
        <w:szCs w:val="16"/>
      </w:rPr>
      <w:fldChar w:fldCharType="end"/>
    </w:r>
    <w:r w:rsidRPr="00CF7843">
      <w:rPr>
        <w:color w:val="0B486B" w:themeColor="text2"/>
        <w:sz w:val="16"/>
        <w:szCs w:val="16"/>
      </w:rPr>
      <w:t xml:space="preserve"> of </w:t>
    </w:r>
    <w:r w:rsidRPr="00CF7843">
      <w:rPr>
        <w:color w:val="0B486B" w:themeColor="text2"/>
        <w:sz w:val="16"/>
        <w:szCs w:val="16"/>
      </w:rPr>
      <w:fldChar w:fldCharType="begin"/>
    </w:r>
    <w:r w:rsidRPr="00CF7843">
      <w:rPr>
        <w:color w:val="0B486B" w:themeColor="text2"/>
        <w:sz w:val="16"/>
        <w:szCs w:val="16"/>
      </w:rPr>
      <w:instrText xml:space="preserve"> NUMPAGES  \* Arabic  \* MERGEFORMAT </w:instrText>
    </w:r>
    <w:r w:rsidRPr="00CF7843">
      <w:rPr>
        <w:color w:val="0B486B" w:themeColor="text2"/>
        <w:sz w:val="16"/>
        <w:szCs w:val="16"/>
      </w:rPr>
      <w:fldChar w:fldCharType="separate"/>
    </w:r>
    <w:r w:rsidR="002055A5">
      <w:rPr>
        <w:noProof/>
        <w:color w:val="0B486B" w:themeColor="text2"/>
        <w:sz w:val="16"/>
        <w:szCs w:val="16"/>
      </w:rPr>
      <w:t>1</w:t>
    </w:r>
    <w:r w:rsidRPr="00CF7843">
      <w:rPr>
        <w:color w:val="0B486B" w:themeColor="text2"/>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13FF1" w14:textId="7E9184D9" w:rsidR="009B2A25" w:rsidRDefault="009B2A25" w:rsidP="00CF7843">
    <w:pPr>
      <w:pStyle w:val="Footer"/>
      <w:tabs>
        <w:tab w:val="clear" w:pos="9026"/>
        <w:tab w:val="right" w:pos="10348"/>
      </w:tabs>
      <w:rPr>
        <w:color w:val="0B486B" w:themeColor="text2"/>
        <w:sz w:val="16"/>
        <w:szCs w:val="16"/>
      </w:rPr>
    </w:pPr>
    <w:r>
      <w:rPr>
        <w:color w:val="0B486B" w:themeColor="text2"/>
        <w:sz w:val="16"/>
        <w:szCs w:val="16"/>
      </w:rPr>
      <w:t xml:space="preserve">ENERGY </w:t>
    </w:r>
    <w:proofErr w:type="gramStart"/>
    <w:r>
      <w:rPr>
        <w:color w:val="0B486B" w:themeColor="text2"/>
        <w:sz w:val="16"/>
        <w:szCs w:val="16"/>
      </w:rPr>
      <w:t>USERS</w:t>
    </w:r>
    <w:proofErr w:type="gramEnd"/>
    <w:r>
      <w:rPr>
        <w:color w:val="0B486B" w:themeColor="text2"/>
        <w:sz w:val="16"/>
        <w:szCs w:val="16"/>
      </w:rPr>
      <w:t xml:space="preserve"> ASSOCIATION OF AUSTRALIA | </w:t>
    </w:r>
    <w:r w:rsidR="00300B14">
      <w:rPr>
        <w:color w:val="0B486B" w:themeColor="text2"/>
        <w:sz w:val="16"/>
        <w:szCs w:val="16"/>
      </w:rPr>
      <w:t xml:space="preserve">EUAA </w:t>
    </w:r>
    <w:r w:rsidR="003016E4">
      <w:rPr>
        <w:color w:val="0B486B" w:themeColor="text2"/>
        <w:sz w:val="16"/>
        <w:szCs w:val="16"/>
      </w:rPr>
      <w:t>POLICY POSITION</w:t>
    </w:r>
    <w:r w:rsidR="003F4219">
      <w:rPr>
        <w:color w:val="0B486B" w:themeColor="text2"/>
        <w:sz w:val="16"/>
        <w:szCs w:val="16"/>
      </w:rPr>
      <w:t xml:space="preserve"> </w:t>
    </w:r>
    <w:r w:rsidR="003F4219">
      <w:rPr>
        <w:color w:val="0B486B" w:themeColor="text2"/>
        <w:sz w:val="16"/>
        <w:szCs w:val="16"/>
      </w:rPr>
      <w:fldChar w:fldCharType="begin"/>
    </w:r>
    <w:r w:rsidR="003F4219">
      <w:rPr>
        <w:color w:val="0B486B" w:themeColor="text2"/>
        <w:sz w:val="16"/>
        <w:szCs w:val="16"/>
      </w:rPr>
      <w:instrText xml:space="preserve"> COMMENTS  \* Upper  \* MERGEFORMAT </w:instrText>
    </w:r>
    <w:r w:rsidR="003F4219">
      <w:rPr>
        <w:color w:val="0B486B" w:themeColor="text2"/>
        <w:sz w:val="16"/>
        <w:szCs w:val="16"/>
      </w:rPr>
      <w:fldChar w:fldCharType="separate"/>
    </w:r>
    <w:r w:rsidR="003016E4">
      <w:rPr>
        <w:color w:val="0B486B" w:themeColor="text2"/>
        <w:sz w:val="16"/>
        <w:szCs w:val="16"/>
      </w:rPr>
      <w:t>19 AUGUST 2026</w:t>
    </w:r>
    <w:r w:rsidR="003F4219">
      <w:rPr>
        <w:color w:val="0B486B" w:themeColor="text2"/>
        <w:sz w:val="16"/>
        <w:szCs w:val="16"/>
      </w:rPr>
      <w:fldChar w:fldCharType="end"/>
    </w:r>
  </w:p>
  <w:p w14:paraId="42049833" w14:textId="6A1BB64E" w:rsidR="00CF7843" w:rsidRPr="00CF7843" w:rsidRDefault="009B2A25" w:rsidP="00300B14">
    <w:pPr>
      <w:pStyle w:val="Footer"/>
      <w:tabs>
        <w:tab w:val="clear" w:pos="9026"/>
        <w:tab w:val="right" w:pos="10348"/>
      </w:tabs>
      <w:rPr>
        <w:color w:val="0B486B" w:themeColor="text2"/>
        <w:sz w:val="16"/>
        <w:szCs w:val="16"/>
      </w:rPr>
    </w:pPr>
    <w:r>
      <w:rPr>
        <w:color w:val="0B486B" w:themeColor="text2"/>
        <w:sz w:val="16"/>
        <w:szCs w:val="16"/>
      </w:rPr>
      <w:t xml:space="preserve">For more information, please contact </w:t>
    </w:r>
    <w:r w:rsidR="00300B14">
      <w:rPr>
        <w:color w:val="0B486B" w:themeColor="text2"/>
        <w:sz w:val="16"/>
        <w:szCs w:val="16"/>
      </w:rPr>
      <w:t>euaa</w:t>
    </w:r>
    <w:r>
      <w:rPr>
        <w:color w:val="0B486B" w:themeColor="text2"/>
        <w:sz w:val="16"/>
        <w:szCs w:val="16"/>
      </w:rPr>
      <w:t>@euaa.com.au</w:t>
    </w:r>
    <w:r w:rsidR="00CF7843" w:rsidRPr="00CF7843">
      <w:rPr>
        <w:color w:val="0B486B" w:themeColor="text2"/>
        <w:sz w:val="16"/>
        <w:szCs w:val="16"/>
      </w:rPr>
      <w:tab/>
    </w:r>
    <w:r w:rsidR="00CF7843" w:rsidRPr="00CF7843">
      <w:rPr>
        <w:color w:val="0B486B" w:themeColor="text2"/>
        <w:sz w:val="16"/>
        <w:szCs w:val="16"/>
      </w:rPr>
      <w:tab/>
      <w:t xml:space="preserve">Page </w:t>
    </w:r>
    <w:r w:rsidR="00CF7843" w:rsidRPr="00CF7843">
      <w:rPr>
        <w:color w:val="0B486B" w:themeColor="text2"/>
        <w:sz w:val="16"/>
        <w:szCs w:val="16"/>
      </w:rPr>
      <w:fldChar w:fldCharType="begin"/>
    </w:r>
    <w:r w:rsidR="00CF7843" w:rsidRPr="00CF7843">
      <w:rPr>
        <w:color w:val="0B486B" w:themeColor="text2"/>
        <w:sz w:val="16"/>
        <w:szCs w:val="16"/>
      </w:rPr>
      <w:instrText xml:space="preserve"> PAGE  \* Arabic  \* MERGEFORMAT </w:instrText>
    </w:r>
    <w:r w:rsidR="00CF7843" w:rsidRPr="00CF7843">
      <w:rPr>
        <w:color w:val="0B486B" w:themeColor="text2"/>
        <w:sz w:val="16"/>
        <w:szCs w:val="16"/>
      </w:rPr>
      <w:fldChar w:fldCharType="separate"/>
    </w:r>
    <w:r w:rsidR="00097B32">
      <w:rPr>
        <w:noProof/>
        <w:color w:val="0B486B" w:themeColor="text2"/>
        <w:sz w:val="16"/>
        <w:szCs w:val="16"/>
      </w:rPr>
      <w:t>1</w:t>
    </w:r>
    <w:r w:rsidR="00CF7843" w:rsidRPr="00CF7843">
      <w:rPr>
        <w:color w:val="0B486B" w:themeColor="text2"/>
        <w:sz w:val="16"/>
        <w:szCs w:val="16"/>
      </w:rPr>
      <w:fldChar w:fldCharType="end"/>
    </w:r>
    <w:r w:rsidR="00CF7843" w:rsidRPr="00CF7843">
      <w:rPr>
        <w:color w:val="0B486B" w:themeColor="text2"/>
        <w:sz w:val="16"/>
        <w:szCs w:val="16"/>
      </w:rPr>
      <w:t xml:space="preserve"> of </w:t>
    </w:r>
    <w:r w:rsidR="00CF7843" w:rsidRPr="00CF7843">
      <w:rPr>
        <w:color w:val="0B486B" w:themeColor="text2"/>
        <w:sz w:val="16"/>
        <w:szCs w:val="16"/>
      </w:rPr>
      <w:fldChar w:fldCharType="begin"/>
    </w:r>
    <w:r w:rsidR="00CF7843" w:rsidRPr="00CF7843">
      <w:rPr>
        <w:color w:val="0B486B" w:themeColor="text2"/>
        <w:sz w:val="16"/>
        <w:szCs w:val="16"/>
      </w:rPr>
      <w:instrText xml:space="preserve"> NUMPAGES  \* Arabic  \* MERGEFORMAT </w:instrText>
    </w:r>
    <w:r w:rsidR="00CF7843" w:rsidRPr="00CF7843">
      <w:rPr>
        <w:color w:val="0B486B" w:themeColor="text2"/>
        <w:sz w:val="16"/>
        <w:szCs w:val="16"/>
      </w:rPr>
      <w:fldChar w:fldCharType="separate"/>
    </w:r>
    <w:r w:rsidR="00097B32">
      <w:rPr>
        <w:noProof/>
        <w:color w:val="0B486B" w:themeColor="text2"/>
        <w:sz w:val="16"/>
        <w:szCs w:val="16"/>
      </w:rPr>
      <w:t>2</w:t>
    </w:r>
    <w:r w:rsidR="00CF7843" w:rsidRPr="00CF7843">
      <w:rPr>
        <w:color w:val="0B486B" w:themeColor="text2"/>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8313C" w14:textId="77777777" w:rsidR="00607AEB" w:rsidRDefault="00607AEB" w:rsidP="00204536">
      <w:r>
        <w:separator/>
      </w:r>
    </w:p>
  </w:footnote>
  <w:footnote w:type="continuationSeparator" w:id="0">
    <w:p w14:paraId="07D11C93" w14:textId="77777777" w:rsidR="00607AEB" w:rsidRDefault="00607AEB" w:rsidP="00204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AD34" w14:textId="77777777" w:rsidR="00984171" w:rsidRDefault="00984171" w:rsidP="00CE23AD">
    <w:pPr>
      <w:pStyle w:val="Header"/>
      <w:tabs>
        <w:tab w:val="clear" w:pos="9026"/>
        <w:tab w:val="right" w:pos="10348"/>
      </w:tabs>
    </w:pPr>
  </w:p>
  <w:p w14:paraId="3A5EC6FB" w14:textId="10795990" w:rsidR="00CE23AD" w:rsidRPr="00CE23AD" w:rsidRDefault="00CE23AD" w:rsidP="00CE23AD">
    <w:pPr>
      <w:pStyle w:val="Header"/>
      <w:tabs>
        <w:tab w:val="clear" w:pos="9026"/>
        <w:tab w:val="right" w:pos="10348"/>
      </w:tabs>
    </w:pPr>
    <w:r>
      <w:tab/>
    </w:r>
    <w:r>
      <w:tab/>
    </w:r>
    <w:r>
      <w:rPr>
        <w:rFonts w:asciiTheme="majorHAnsi" w:hAnsiTheme="majorHAnsi"/>
        <w:noProof/>
        <w:color w:val="0B486B" w:themeColor="text2"/>
        <w:sz w:val="44"/>
        <w:szCs w:val="44"/>
      </w:rPr>
      <w:drawing>
        <wp:inline distT="0" distB="0" distL="0" distR="0" wp14:anchorId="2CCCE4F9" wp14:editId="4B78DF20">
          <wp:extent cx="769645" cy="300093"/>
          <wp:effectExtent l="0" t="0" r="0" b="508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rotWithShape="1">
                  <a:blip r:embed="rId1" cstate="print">
                    <a:extLst>
                      <a:ext uri="{28A0092B-C50C-407E-A947-70E740481C1C}">
                        <a14:useLocalDpi xmlns:a14="http://schemas.microsoft.com/office/drawing/2010/main" val="0"/>
                      </a:ext>
                    </a:extLst>
                  </a:blip>
                  <a:srcRect l="5158" t="9902" r="5030" b="10959"/>
                  <a:stretch/>
                </pic:blipFill>
                <pic:spPr bwMode="auto">
                  <a:xfrm>
                    <a:off x="0" y="0"/>
                    <a:ext cx="829456" cy="323414"/>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HAnsi" w:hAnsiTheme="majorHAnsi"/>
        <w:noProof/>
        <w:color w:val="0B486B" w:themeColor="text2"/>
        <w:sz w:val="44"/>
        <w:szCs w:val="44"/>
      </w:rPr>
      <mc:AlternateContent>
        <mc:Choice Requires="wps">
          <w:drawing>
            <wp:anchor distT="0" distB="0" distL="114300" distR="114300" simplePos="0" relativeHeight="251656704" behindDoc="0" locked="1" layoutInCell="1" allowOverlap="1" wp14:anchorId="26512D22" wp14:editId="2A0BF00D">
              <wp:simplePos x="0" y="0"/>
              <wp:positionH relativeFrom="column">
                <wp:posOffset>6923405</wp:posOffset>
              </wp:positionH>
              <wp:positionV relativeFrom="page">
                <wp:posOffset>-3810</wp:posOffset>
              </wp:positionV>
              <wp:extent cx="14400" cy="10717200"/>
              <wp:effectExtent l="95250" t="0" r="119380" b="65405"/>
              <wp:wrapNone/>
              <wp:docPr id="8" name="Straight Connector 8"/>
              <wp:cNvGraphicFramePr/>
              <a:graphic xmlns:a="http://schemas.openxmlformats.org/drawingml/2006/main">
                <a:graphicData uri="http://schemas.microsoft.com/office/word/2010/wordprocessingShape">
                  <wps:wsp>
                    <wps:cNvCnPr/>
                    <wps:spPr>
                      <a:xfrm>
                        <a:off x="0" y="0"/>
                        <a:ext cx="14400" cy="10717200"/>
                      </a:xfrm>
                      <a:prstGeom prst="line">
                        <a:avLst/>
                      </a:prstGeom>
                      <a:ln w="209550">
                        <a:gradFill>
                          <a:gsLst>
                            <a:gs pos="0">
                              <a:schemeClr val="tx2"/>
                            </a:gs>
                            <a:gs pos="33000">
                              <a:schemeClr val="accent1"/>
                            </a:gs>
                            <a:gs pos="66000">
                              <a:schemeClr val="accent2"/>
                            </a:gs>
                            <a:gs pos="100000">
                              <a:schemeClr val="accent4"/>
                            </a:gs>
                          </a:gsLst>
                          <a:lin ang="5400000" scaled="0"/>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29DA1E"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545.15pt,-.3pt" to="546.3pt,8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323+AEAAMsEAAAOAAAAZHJzL2Uyb0RvYy54bWyslN1u2yAUx+8n7R0Q94vtNElXK04vWnU3&#10;01at2wNQfLCRMCBgsfP2O2DHibqo3abdYD7O/3z84Hh7O3SK7MF5aXRFi0VOCWhuaqmbiv74/vDh&#10;IyU+MF0zZTRU9ACe3u7ev9v2toSlaY2qwRF0on3Z24q2IdgyyzxvoWN+YSxoPBTGdSzg0jVZ7ViP&#10;3juVLfN8k/XG1dYZDt7j7v14SHfJvxDAw1chPASiKoq5hTS6ND7HMdttWdk4ZlvJpzTYP2TRMakx&#10;6OzqngVGfjr5m6tOcme8EWHBTZcZISSHVANWU+QvqnlqmYVUC8Lxdsbk/59b/mV/px8dYuitL719&#10;dLGKQbgufjE/MiRYhxkWDIFw3CxWqxyJcjwp8uviGm8j0sxOaut8+ASmI3FSUSV1LIaVbP/Zh9H0&#10;aBK3lSZ9RZf5zXqdH1nWD1KpeNh41IwTYg0CGE3SO4E75cie4Q2HYTnl0Phz46urHLOLOy8EjHPQ&#10;obgo2mxeFV2OVKDmtVCrs1CIai4L4RAWe2aNVKMH4jlTUE/Yo6ljEw1cKI2kTzeWZuGgIJao9DcQ&#10;RNbxjt6uOVlHmUDSs/APYE32UQqp0f5GPCtSZKPDLO6kNu5S2mE4XpMY7Y8ExrojgmdTH9JbTmiw&#10;Y9JznLo7tuT5OslP/6DdLwAAAP//AwBQSwMEFAAGAAgAAAAhACZDVKjgAAAADAEAAA8AAABkcnMv&#10;ZG93bnJldi54bWxMj8FOwzAQRO9I/IO1SNxauwHSJsSpKqQeOEHSol7deEkiYjuK3ST8PdtTuc1o&#10;n2Znsu1sOjbi4FtnJayWAhjayunW1hKOh/1iA8wHZbXqnEUJv+hhm9/fZSrVbrIFjmWoGYVYnyoJ&#10;TQh9yrmvGjTKL12Plm7fbjAqkB1qrgc1UbjpeCREzI1qLX1oVI9vDVY/5cVI2L2vP7/46fjxsn9O&#10;ShGdisM0FlI+Psy7V2AB53CD4VqfqkNOnc7uYrVnHXmRiCdiJSxiYFdAJBGpM6l4s14BzzP+f0T+&#10;BwAA//8DAFBLAQItABQABgAIAAAAIQC2gziS/gAAAOEBAAATAAAAAAAAAAAAAAAAAAAAAABbQ29u&#10;dGVudF9UeXBlc10ueG1sUEsBAi0AFAAGAAgAAAAhADj9If/WAAAAlAEAAAsAAAAAAAAAAAAAAAAA&#10;LwEAAF9yZWxzLy5yZWxzUEsBAi0AFAAGAAgAAAAhAI8ffbf4AQAAywQAAA4AAAAAAAAAAAAAAAAA&#10;LgIAAGRycy9lMm9Eb2MueG1sUEsBAi0AFAAGAAgAAAAhACZDVKjgAAAADAEAAA8AAAAAAAAAAAAA&#10;AAAAUgQAAGRycy9kb3ducmV2LnhtbFBLBQYAAAAABAAEAPMAAABfBQAAAAA=&#10;" strokeweight="16.5pt">
              <w10:wrap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2484" w14:textId="191789F3" w:rsidR="00BB262A" w:rsidRPr="00BB262A" w:rsidRDefault="00BB262A" w:rsidP="00BB262A">
    <w:pPr>
      <w:pStyle w:val="Header"/>
      <w:tabs>
        <w:tab w:val="clear" w:pos="4513"/>
        <w:tab w:val="clear" w:pos="9026"/>
        <w:tab w:val="center" w:pos="5103"/>
        <w:tab w:val="right" w:pos="10348"/>
      </w:tabs>
      <w:rPr>
        <w:rStyle w:val="TitleChar"/>
        <w:sz w:val="28"/>
        <w:szCs w:val="28"/>
      </w:rPr>
    </w:pPr>
    <w:r w:rsidRPr="00BB262A">
      <w:rPr>
        <w:rFonts w:asciiTheme="majorHAnsi" w:hAnsiTheme="majorHAnsi"/>
        <w:noProof/>
        <w:color w:val="0B486B" w:themeColor="text2"/>
        <w:sz w:val="28"/>
        <w:szCs w:val="28"/>
      </w:rPr>
      <mc:AlternateContent>
        <mc:Choice Requires="wps">
          <w:drawing>
            <wp:anchor distT="0" distB="0" distL="114300" distR="114300" simplePos="0" relativeHeight="251657728" behindDoc="0" locked="0" layoutInCell="1" allowOverlap="1" wp14:anchorId="1095C47F" wp14:editId="0A103402">
              <wp:simplePos x="0" y="0"/>
              <wp:positionH relativeFrom="column">
                <wp:posOffset>6898336</wp:posOffset>
              </wp:positionH>
              <wp:positionV relativeFrom="paragraph">
                <wp:posOffset>-179070</wp:posOffset>
              </wp:positionV>
              <wp:extent cx="16013" cy="10718358"/>
              <wp:effectExtent l="95250" t="0" r="117475" b="64135"/>
              <wp:wrapNone/>
              <wp:docPr id="5" name="Straight Connector 5"/>
              <wp:cNvGraphicFramePr/>
              <a:graphic xmlns:a="http://schemas.openxmlformats.org/drawingml/2006/main">
                <a:graphicData uri="http://schemas.microsoft.com/office/word/2010/wordprocessingShape">
                  <wps:wsp>
                    <wps:cNvCnPr/>
                    <wps:spPr>
                      <a:xfrm>
                        <a:off x="0" y="0"/>
                        <a:ext cx="16013" cy="10718358"/>
                      </a:xfrm>
                      <a:prstGeom prst="line">
                        <a:avLst/>
                      </a:prstGeom>
                      <a:ln w="209550">
                        <a:gradFill>
                          <a:gsLst>
                            <a:gs pos="0">
                              <a:schemeClr val="tx2"/>
                            </a:gs>
                            <a:gs pos="33000">
                              <a:schemeClr val="accent1"/>
                            </a:gs>
                            <a:gs pos="66000">
                              <a:schemeClr val="accent2"/>
                            </a:gs>
                            <a:gs pos="100000">
                              <a:schemeClr val="accent4"/>
                            </a:gs>
                          </a:gsLst>
                          <a:lin ang="5400000" scaled="0"/>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97FED5" id="Straight Connector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3.2pt,-14.1pt" to="544.45pt,8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z5l+QEAAMsEAAAOAAAAZHJzL2Uyb0RvYy54bWyslM2O0zAQx+9IvIPlO03SbkuJmu5hV8sF&#10;wYqFB/A648SSY1u2adK3Z+ykaVmqFSAujj/mPx8/e7K7HTpFDuC8NLqixSKnBDQ3tdRNRb9/e3i3&#10;pcQHpmumjIaKHsHT2/3bN7velrA0rVE1OIJOtC97W9E2BFtmmectdMwvjAWNh8K4jgVcuiarHevR&#10;e6eyZZ5vst642jrDwXvcvR8P6T75FwJ4+CKEh0BURTG3kEaXxuc4ZvsdKxvHbCv5lAb7hyw6JjUG&#10;nV3ds8DIDyd/c9VJ7ow3Iiy46TIjhOSQasBqivxFNU8ts5BqQTjezpj8/3PLPx/u9KNDDL31pbeP&#10;LlYxCNfFL+ZHhgTrOMOCIRCOm8UmL1aUcDwp8vfFdrXeRprZWW2dDx/BdCROKqqkjsWwkh0++TCa&#10;nkzittKkr+gy/7Be5yeW9YNUKh42HjXjhFiDAEaT9E7gTjlyYHjDYVhOOTT+0ni1yvOrAsY56FBc&#10;FW02r4quRypQ81qom4tQiGouC+EQFntmfTN6IJ4zBfWEPZo6NtHAhdJI+nxjaRaOCkaOX0EQWcc7&#10;ShxfQPq1ZqXROsoEkp6FfwBrso9SSI32N+JZkSIbHWZxJ7Vx19IOw+maxGh/IjDWHRE8m/qY3nJC&#10;gx2TnuPU3bElL9dJfv4H7X8CAAD//wMAUEsDBBQABgAIAAAAIQCKDlsu4gAAAA4BAAAPAAAAZHJz&#10;L2Rvd25yZXYueG1sTI+xboMwEIb3Sn0H6yp1S+yihBiKiaJKGTq1kFRZHewACrYRdoC+fS9Ts92v&#10;+/Tfd9l2Nh0Z9eBbZwW8LRkQbSunWlsLOB72Cw7EB2mV7JzVAn61h23+/JTJVLnJFnosQ02wxPpU&#10;CmhC6FNKfdVoI/3S9dri7uIGIwPGoaZqkBOWm45GjMXUyNbihUb2+qPR1bW8GQG7z833Dz0dv9b7&#10;VVKy6FQcprEQ4vVl3r0DCXoO/zDc9VEdcnQ6u5tVnnSYGY9XyApYRDwCckcY5wmQM07xOtkAzTP6&#10;+Eb+BwAA//8DAFBLAQItABQABgAIAAAAIQC2gziS/gAAAOEBAAATAAAAAAAAAAAAAAAAAAAAAABb&#10;Q29udGVudF9UeXBlc10ueG1sUEsBAi0AFAAGAAgAAAAhADj9If/WAAAAlAEAAAsAAAAAAAAAAAAA&#10;AAAALwEAAF9yZWxzLy5yZWxzUEsBAi0AFAAGAAgAAAAhADR/PmX5AQAAywQAAA4AAAAAAAAAAAAA&#10;AAAALgIAAGRycy9lMm9Eb2MueG1sUEsBAi0AFAAGAAgAAAAhAIoOWy7iAAAADgEAAA8AAAAAAAAA&#10;AAAAAAAAUwQAAGRycy9kb3ducmV2LnhtbFBLBQYAAAAABAAEAPMAAABiBQAAAAA=&#10;" strokeweight="16.5pt"/>
          </w:pict>
        </mc:Fallback>
      </mc:AlternateContent>
    </w:r>
  </w:p>
  <w:p w14:paraId="6C415C0E" w14:textId="1567F263" w:rsidR="00BB262A" w:rsidRDefault="009F3978" w:rsidP="00BB262A">
    <w:pPr>
      <w:pStyle w:val="Header"/>
      <w:tabs>
        <w:tab w:val="clear" w:pos="4513"/>
        <w:tab w:val="clear" w:pos="9026"/>
        <w:tab w:val="center" w:pos="5103"/>
        <w:tab w:val="right" w:pos="10348"/>
      </w:tabs>
      <w:rPr>
        <w:rFonts w:asciiTheme="majorHAnsi" w:hAnsiTheme="majorHAnsi"/>
        <w:noProof/>
        <w:color w:val="0B486B" w:themeColor="text2"/>
        <w:sz w:val="44"/>
        <w:szCs w:val="44"/>
      </w:rPr>
    </w:pPr>
    <w:r>
      <w:rPr>
        <w:rStyle w:val="TitleChar"/>
      </w:rPr>
      <w:t>POLICY POSITION</w:t>
    </w:r>
    <w:r w:rsidR="00BB262A" w:rsidRPr="00BB262A">
      <w:rPr>
        <w:rStyle w:val="TitleChar"/>
      </w:rPr>
      <w:t xml:space="preserve"> </w:t>
    </w:r>
    <w:r w:rsidR="00BB262A">
      <w:rPr>
        <w:rFonts w:asciiTheme="majorHAnsi" w:hAnsiTheme="majorHAnsi"/>
        <w:noProof/>
        <w:color w:val="0B486B" w:themeColor="text2"/>
        <w:sz w:val="44"/>
        <w:szCs w:val="44"/>
      </w:rPr>
      <w:tab/>
    </w:r>
    <w:r w:rsidR="00BB262A">
      <w:rPr>
        <w:rFonts w:asciiTheme="majorHAnsi" w:hAnsiTheme="majorHAnsi"/>
        <w:noProof/>
        <w:color w:val="0B486B" w:themeColor="text2"/>
        <w:sz w:val="44"/>
        <w:szCs w:val="44"/>
      </w:rPr>
      <w:tab/>
    </w:r>
    <w:r w:rsidR="00BB262A">
      <w:rPr>
        <w:rFonts w:asciiTheme="majorHAnsi" w:hAnsiTheme="majorHAnsi"/>
        <w:noProof/>
        <w:color w:val="0B486B" w:themeColor="text2"/>
        <w:sz w:val="44"/>
        <w:szCs w:val="44"/>
      </w:rPr>
      <w:drawing>
        <wp:inline distT="0" distB="0" distL="0" distR="0" wp14:anchorId="7453DFDF" wp14:editId="16174DF7">
          <wp:extent cx="1351238" cy="526863"/>
          <wp:effectExtent l="0" t="0" r="1905" b="6985"/>
          <wp:docPr id="11" name="Picture 1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rotWithShape="1">
                  <a:blip r:embed="rId1" cstate="print">
                    <a:extLst>
                      <a:ext uri="{28A0092B-C50C-407E-A947-70E740481C1C}">
                        <a14:useLocalDpi xmlns:a14="http://schemas.microsoft.com/office/drawing/2010/main" val="0"/>
                      </a:ext>
                    </a:extLst>
                  </a:blip>
                  <a:srcRect l="5158" t="9902" r="5030" b="10959"/>
                  <a:stretch/>
                </pic:blipFill>
                <pic:spPr bwMode="auto">
                  <a:xfrm>
                    <a:off x="0" y="0"/>
                    <a:ext cx="1421776" cy="554366"/>
                  </a:xfrm>
                  <a:prstGeom prst="rect">
                    <a:avLst/>
                  </a:prstGeom>
                  <a:ln>
                    <a:noFill/>
                  </a:ln>
                  <a:extLst>
                    <a:ext uri="{53640926-AAD7-44D8-BBD7-CCE9431645EC}">
                      <a14:shadowObscured xmlns:a14="http://schemas.microsoft.com/office/drawing/2010/main"/>
                    </a:ext>
                  </a:extLst>
                </pic:spPr>
              </pic:pic>
            </a:graphicData>
          </a:graphic>
        </wp:inline>
      </w:drawing>
    </w:r>
  </w:p>
  <w:p w14:paraId="08F5D110" w14:textId="23979407" w:rsidR="00BB262A" w:rsidRDefault="00000000" w:rsidP="00BB262A">
    <w:pPr>
      <w:pStyle w:val="Header"/>
      <w:tabs>
        <w:tab w:val="clear" w:pos="4513"/>
        <w:tab w:val="clear" w:pos="9026"/>
        <w:tab w:val="center" w:pos="5103"/>
        <w:tab w:val="right" w:pos="10348"/>
      </w:tabs>
    </w:pPr>
    <w:r>
      <w:rPr>
        <w:rStyle w:val="Heading1Char"/>
        <w:noProof/>
        <w:sz w:val="16"/>
        <w:szCs w:val="16"/>
      </w:rPr>
      <w:pict w14:anchorId="59621A4B">
        <v:rect id="_x0000_i1044" alt="" style="width:518.75pt;height:.05pt;mso-width-percent:0;mso-height-percent:0;mso-width-percent:0;mso-height-percent:0"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6BAB"/>
    <w:multiLevelType w:val="multilevel"/>
    <w:tmpl w:val="95B60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B43A7"/>
    <w:multiLevelType w:val="hybridMultilevel"/>
    <w:tmpl w:val="B5AE448E"/>
    <w:lvl w:ilvl="0" w:tplc="185024F2">
      <w:start w:val="1"/>
      <w:numFmt w:val="bullet"/>
      <w:lvlText w:val=""/>
      <w:lvlJc w:val="left"/>
      <w:pPr>
        <w:ind w:left="720" w:hanging="360"/>
      </w:pPr>
      <w:rPr>
        <w:rFonts w:ascii="Symbol" w:hAnsi="Symbol" w:hint="default"/>
        <w:color w:val="3B8686"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C61D9B"/>
    <w:multiLevelType w:val="multilevel"/>
    <w:tmpl w:val="FF08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EB470E"/>
    <w:multiLevelType w:val="multilevel"/>
    <w:tmpl w:val="511A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3A6D55"/>
    <w:multiLevelType w:val="hybridMultilevel"/>
    <w:tmpl w:val="3AAC5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3B0ECB"/>
    <w:multiLevelType w:val="hybridMultilevel"/>
    <w:tmpl w:val="758A9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A275F2"/>
    <w:multiLevelType w:val="hybridMultilevel"/>
    <w:tmpl w:val="524E1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3F7254"/>
    <w:multiLevelType w:val="multilevel"/>
    <w:tmpl w:val="8B1A0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081C93"/>
    <w:multiLevelType w:val="multilevel"/>
    <w:tmpl w:val="F59E4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B54796"/>
    <w:multiLevelType w:val="multilevel"/>
    <w:tmpl w:val="2000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B3361"/>
    <w:multiLevelType w:val="hybridMultilevel"/>
    <w:tmpl w:val="BEC89854"/>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11" w15:restartNumberingAfterBreak="0">
    <w:nsid w:val="40FA7B41"/>
    <w:multiLevelType w:val="hybridMultilevel"/>
    <w:tmpl w:val="A68E36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1CF62AC"/>
    <w:multiLevelType w:val="hybridMultilevel"/>
    <w:tmpl w:val="77020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5E5B40"/>
    <w:multiLevelType w:val="multilevel"/>
    <w:tmpl w:val="FA2CF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B81EC3"/>
    <w:multiLevelType w:val="multilevel"/>
    <w:tmpl w:val="9606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387E95"/>
    <w:multiLevelType w:val="multilevel"/>
    <w:tmpl w:val="C41C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F94A62"/>
    <w:multiLevelType w:val="multilevel"/>
    <w:tmpl w:val="CA6E6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AF5057"/>
    <w:multiLevelType w:val="hybridMultilevel"/>
    <w:tmpl w:val="B666D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966EC3"/>
    <w:multiLevelType w:val="hybridMultilevel"/>
    <w:tmpl w:val="DF78B454"/>
    <w:lvl w:ilvl="0" w:tplc="1DEEA05E">
      <w:start w:val="1"/>
      <w:numFmt w:val="bullet"/>
      <w:lvlText w:val=""/>
      <w:lvlJc w:val="left"/>
      <w:pPr>
        <w:ind w:left="360" w:hanging="360"/>
      </w:pPr>
      <w:rPr>
        <w:rFonts w:ascii="Symbol" w:hAnsi="Symbol" w:hint="default"/>
        <w:color w:val="79BD9A" w:themeColor="accent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842156B"/>
    <w:multiLevelType w:val="hybridMultilevel"/>
    <w:tmpl w:val="DF428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926159"/>
    <w:multiLevelType w:val="hybridMultilevel"/>
    <w:tmpl w:val="9AB0E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1324D7B"/>
    <w:multiLevelType w:val="multilevel"/>
    <w:tmpl w:val="482E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D946C7"/>
    <w:multiLevelType w:val="multilevel"/>
    <w:tmpl w:val="0A70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087ABD"/>
    <w:multiLevelType w:val="hybridMultilevel"/>
    <w:tmpl w:val="D68AF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98D6DE6"/>
    <w:multiLevelType w:val="multilevel"/>
    <w:tmpl w:val="ABE4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3B1EAC"/>
    <w:multiLevelType w:val="multilevel"/>
    <w:tmpl w:val="D8B0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810036"/>
    <w:multiLevelType w:val="hybridMultilevel"/>
    <w:tmpl w:val="679AF25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7" w15:restartNumberingAfterBreak="0">
    <w:nsid w:val="7EDF025D"/>
    <w:multiLevelType w:val="multilevel"/>
    <w:tmpl w:val="CB5A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1513640">
    <w:abstractNumId w:val="17"/>
  </w:num>
  <w:num w:numId="2" w16cid:durableId="1538591569">
    <w:abstractNumId w:val="1"/>
  </w:num>
  <w:num w:numId="3" w16cid:durableId="420569850">
    <w:abstractNumId w:val="18"/>
  </w:num>
  <w:num w:numId="4" w16cid:durableId="212427198">
    <w:abstractNumId w:val="26"/>
  </w:num>
  <w:num w:numId="5" w16cid:durableId="1714040543">
    <w:abstractNumId w:val="20"/>
  </w:num>
  <w:num w:numId="6" w16cid:durableId="1480925573">
    <w:abstractNumId w:val="6"/>
  </w:num>
  <w:num w:numId="7" w16cid:durableId="1460949704">
    <w:abstractNumId w:val="5"/>
  </w:num>
  <w:num w:numId="8" w16cid:durableId="1573614314">
    <w:abstractNumId w:val="23"/>
  </w:num>
  <w:num w:numId="9" w16cid:durableId="679745484">
    <w:abstractNumId w:val="4"/>
  </w:num>
  <w:num w:numId="10" w16cid:durableId="666513880">
    <w:abstractNumId w:val="10"/>
  </w:num>
  <w:num w:numId="11" w16cid:durableId="577322060">
    <w:abstractNumId w:val="11"/>
  </w:num>
  <w:num w:numId="12" w16cid:durableId="784495207">
    <w:abstractNumId w:val="19"/>
  </w:num>
  <w:num w:numId="13" w16cid:durableId="1632707987">
    <w:abstractNumId w:val="12"/>
  </w:num>
  <w:num w:numId="14" w16cid:durableId="728259968">
    <w:abstractNumId w:val="8"/>
  </w:num>
  <w:num w:numId="15" w16cid:durableId="1764765569">
    <w:abstractNumId w:val="15"/>
  </w:num>
  <w:num w:numId="16" w16cid:durableId="1078021311">
    <w:abstractNumId w:val="7"/>
  </w:num>
  <w:num w:numId="17" w16cid:durableId="36975081">
    <w:abstractNumId w:val="21"/>
  </w:num>
  <w:num w:numId="18" w16cid:durableId="1093938836">
    <w:abstractNumId w:val="2"/>
  </w:num>
  <w:num w:numId="19" w16cid:durableId="1549418488">
    <w:abstractNumId w:val="9"/>
  </w:num>
  <w:num w:numId="20" w16cid:durableId="1306086341">
    <w:abstractNumId w:val="16"/>
  </w:num>
  <w:num w:numId="21" w16cid:durableId="929267318">
    <w:abstractNumId w:val="27"/>
  </w:num>
  <w:num w:numId="22" w16cid:durableId="739406808">
    <w:abstractNumId w:val="25"/>
  </w:num>
  <w:num w:numId="23" w16cid:durableId="1643919956">
    <w:abstractNumId w:val="24"/>
  </w:num>
  <w:num w:numId="24" w16cid:durableId="1279482245">
    <w:abstractNumId w:val="22"/>
  </w:num>
  <w:num w:numId="25" w16cid:durableId="1489394838">
    <w:abstractNumId w:val="3"/>
  </w:num>
  <w:num w:numId="26" w16cid:durableId="502862069">
    <w:abstractNumId w:val="13"/>
  </w:num>
  <w:num w:numId="27" w16cid:durableId="1771196693">
    <w:abstractNumId w:val="14"/>
  </w:num>
  <w:num w:numId="28" w16cid:durableId="2074231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536"/>
    <w:rsid w:val="00000F64"/>
    <w:rsid w:val="00002ECD"/>
    <w:rsid w:val="00003FC6"/>
    <w:rsid w:val="00006EEC"/>
    <w:rsid w:val="000131B9"/>
    <w:rsid w:val="000135FE"/>
    <w:rsid w:val="00015012"/>
    <w:rsid w:val="000210C1"/>
    <w:rsid w:val="0002212B"/>
    <w:rsid w:val="00022805"/>
    <w:rsid w:val="00026AA0"/>
    <w:rsid w:val="00031CBD"/>
    <w:rsid w:val="00034C92"/>
    <w:rsid w:val="00040C48"/>
    <w:rsid w:val="00042A39"/>
    <w:rsid w:val="00045CF1"/>
    <w:rsid w:val="00054CBC"/>
    <w:rsid w:val="000658D5"/>
    <w:rsid w:val="000741A0"/>
    <w:rsid w:val="000753BA"/>
    <w:rsid w:val="00077D4D"/>
    <w:rsid w:val="00082D6C"/>
    <w:rsid w:val="00084392"/>
    <w:rsid w:val="00085431"/>
    <w:rsid w:val="000860BE"/>
    <w:rsid w:val="000870C6"/>
    <w:rsid w:val="00090860"/>
    <w:rsid w:val="00090BE1"/>
    <w:rsid w:val="000912E8"/>
    <w:rsid w:val="00091D29"/>
    <w:rsid w:val="0009305A"/>
    <w:rsid w:val="000937CE"/>
    <w:rsid w:val="000979D4"/>
    <w:rsid w:val="00097B32"/>
    <w:rsid w:val="000A2E2A"/>
    <w:rsid w:val="000A65A7"/>
    <w:rsid w:val="000B44AA"/>
    <w:rsid w:val="000B44E2"/>
    <w:rsid w:val="000B6DEE"/>
    <w:rsid w:val="000B765E"/>
    <w:rsid w:val="000C34DF"/>
    <w:rsid w:val="000D05DE"/>
    <w:rsid w:val="000D0DA7"/>
    <w:rsid w:val="000D1678"/>
    <w:rsid w:val="000E4994"/>
    <w:rsid w:val="000E5798"/>
    <w:rsid w:val="000F17A0"/>
    <w:rsid w:val="000F230B"/>
    <w:rsid w:val="000F47FA"/>
    <w:rsid w:val="000F6377"/>
    <w:rsid w:val="00101496"/>
    <w:rsid w:val="0010157B"/>
    <w:rsid w:val="00104A36"/>
    <w:rsid w:val="00106CB6"/>
    <w:rsid w:val="00110077"/>
    <w:rsid w:val="001165FD"/>
    <w:rsid w:val="001201B5"/>
    <w:rsid w:val="001218C3"/>
    <w:rsid w:val="001311B4"/>
    <w:rsid w:val="00137594"/>
    <w:rsid w:val="00140910"/>
    <w:rsid w:val="0014120D"/>
    <w:rsid w:val="00141418"/>
    <w:rsid w:val="0014472A"/>
    <w:rsid w:val="0014665E"/>
    <w:rsid w:val="00154607"/>
    <w:rsid w:val="00161CFB"/>
    <w:rsid w:val="00164007"/>
    <w:rsid w:val="0016532F"/>
    <w:rsid w:val="00176537"/>
    <w:rsid w:val="001773EC"/>
    <w:rsid w:val="00180491"/>
    <w:rsid w:val="001828A4"/>
    <w:rsid w:val="0018423B"/>
    <w:rsid w:val="00187939"/>
    <w:rsid w:val="001925E9"/>
    <w:rsid w:val="00194C4F"/>
    <w:rsid w:val="00195B21"/>
    <w:rsid w:val="001A1E7D"/>
    <w:rsid w:val="001A6C2C"/>
    <w:rsid w:val="001B00A7"/>
    <w:rsid w:val="001B0EC0"/>
    <w:rsid w:val="001B1279"/>
    <w:rsid w:val="001B3591"/>
    <w:rsid w:val="001B5A23"/>
    <w:rsid w:val="001B73D5"/>
    <w:rsid w:val="001C4644"/>
    <w:rsid w:val="001C4A7E"/>
    <w:rsid w:val="001C558C"/>
    <w:rsid w:val="001C6871"/>
    <w:rsid w:val="001D0427"/>
    <w:rsid w:val="001D5152"/>
    <w:rsid w:val="001D7B52"/>
    <w:rsid w:val="001E189C"/>
    <w:rsid w:val="001E291F"/>
    <w:rsid w:val="001E32BE"/>
    <w:rsid w:val="001E4F54"/>
    <w:rsid w:val="001E65C7"/>
    <w:rsid w:val="001E6ACE"/>
    <w:rsid w:val="001E6CF2"/>
    <w:rsid w:val="001E7334"/>
    <w:rsid w:val="00204015"/>
    <w:rsid w:val="00204536"/>
    <w:rsid w:val="002055A5"/>
    <w:rsid w:val="00207E95"/>
    <w:rsid w:val="00210A84"/>
    <w:rsid w:val="0021127C"/>
    <w:rsid w:val="00214C7A"/>
    <w:rsid w:val="00214DB2"/>
    <w:rsid w:val="00225C12"/>
    <w:rsid w:val="0023024C"/>
    <w:rsid w:val="00231A12"/>
    <w:rsid w:val="002430C3"/>
    <w:rsid w:val="002445AD"/>
    <w:rsid w:val="0024519B"/>
    <w:rsid w:val="00247C41"/>
    <w:rsid w:val="00250D67"/>
    <w:rsid w:val="00254582"/>
    <w:rsid w:val="00257F93"/>
    <w:rsid w:val="00260016"/>
    <w:rsid w:val="00262514"/>
    <w:rsid w:val="00265A7D"/>
    <w:rsid w:val="0026680B"/>
    <w:rsid w:val="00271BC4"/>
    <w:rsid w:val="00273B76"/>
    <w:rsid w:val="00274C66"/>
    <w:rsid w:val="002774FB"/>
    <w:rsid w:val="00277CEC"/>
    <w:rsid w:val="002816F1"/>
    <w:rsid w:val="00281FE4"/>
    <w:rsid w:val="00282315"/>
    <w:rsid w:val="00284EA1"/>
    <w:rsid w:val="002900F3"/>
    <w:rsid w:val="00293753"/>
    <w:rsid w:val="00296DBE"/>
    <w:rsid w:val="002A1B39"/>
    <w:rsid w:val="002A3302"/>
    <w:rsid w:val="002A4D37"/>
    <w:rsid w:val="002A6A72"/>
    <w:rsid w:val="002B594A"/>
    <w:rsid w:val="002C16F6"/>
    <w:rsid w:val="002C4325"/>
    <w:rsid w:val="002D48C7"/>
    <w:rsid w:val="002E5640"/>
    <w:rsid w:val="002E68B3"/>
    <w:rsid w:val="002F0EFD"/>
    <w:rsid w:val="002F21C5"/>
    <w:rsid w:val="002F33B1"/>
    <w:rsid w:val="002F65EC"/>
    <w:rsid w:val="00300B14"/>
    <w:rsid w:val="003016E4"/>
    <w:rsid w:val="00312F9A"/>
    <w:rsid w:val="00312FC4"/>
    <w:rsid w:val="00331F90"/>
    <w:rsid w:val="003347F2"/>
    <w:rsid w:val="0035454A"/>
    <w:rsid w:val="0035485D"/>
    <w:rsid w:val="00354EED"/>
    <w:rsid w:val="00356CE8"/>
    <w:rsid w:val="00360E33"/>
    <w:rsid w:val="00362027"/>
    <w:rsid w:val="00362C3D"/>
    <w:rsid w:val="0036433C"/>
    <w:rsid w:val="0036518F"/>
    <w:rsid w:val="0036636D"/>
    <w:rsid w:val="0037076E"/>
    <w:rsid w:val="003768FB"/>
    <w:rsid w:val="00382A9E"/>
    <w:rsid w:val="003835B7"/>
    <w:rsid w:val="00384226"/>
    <w:rsid w:val="003851CC"/>
    <w:rsid w:val="00386C14"/>
    <w:rsid w:val="00397F37"/>
    <w:rsid w:val="003A3B28"/>
    <w:rsid w:val="003A5F56"/>
    <w:rsid w:val="003A6EEA"/>
    <w:rsid w:val="003B3617"/>
    <w:rsid w:val="003C2E65"/>
    <w:rsid w:val="003C302B"/>
    <w:rsid w:val="003C3370"/>
    <w:rsid w:val="003C39C2"/>
    <w:rsid w:val="003D04C2"/>
    <w:rsid w:val="003D518E"/>
    <w:rsid w:val="003D7D8C"/>
    <w:rsid w:val="003E27F7"/>
    <w:rsid w:val="003E3108"/>
    <w:rsid w:val="003E4FFE"/>
    <w:rsid w:val="003F0BE5"/>
    <w:rsid w:val="003F3CD5"/>
    <w:rsid w:val="003F4219"/>
    <w:rsid w:val="003F6180"/>
    <w:rsid w:val="003F6EE6"/>
    <w:rsid w:val="00404B59"/>
    <w:rsid w:val="00405FED"/>
    <w:rsid w:val="004061D0"/>
    <w:rsid w:val="00415681"/>
    <w:rsid w:val="0042128B"/>
    <w:rsid w:val="004249A0"/>
    <w:rsid w:val="004257CB"/>
    <w:rsid w:val="00434DD8"/>
    <w:rsid w:val="00441496"/>
    <w:rsid w:val="00442B45"/>
    <w:rsid w:val="00447CC3"/>
    <w:rsid w:val="004549B4"/>
    <w:rsid w:val="0045673A"/>
    <w:rsid w:val="00465D52"/>
    <w:rsid w:val="00470C10"/>
    <w:rsid w:val="00472924"/>
    <w:rsid w:val="0047362E"/>
    <w:rsid w:val="00473D77"/>
    <w:rsid w:val="00473ECF"/>
    <w:rsid w:val="00477131"/>
    <w:rsid w:val="00481CAC"/>
    <w:rsid w:val="00492C6E"/>
    <w:rsid w:val="004964BB"/>
    <w:rsid w:val="004A0F92"/>
    <w:rsid w:val="004A1FD4"/>
    <w:rsid w:val="004A2CC6"/>
    <w:rsid w:val="004A48BE"/>
    <w:rsid w:val="004B1024"/>
    <w:rsid w:val="004B1275"/>
    <w:rsid w:val="004B15CE"/>
    <w:rsid w:val="004B2790"/>
    <w:rsid w:val="004B4280"/>
    <w:rsid w:val="004B7792"/>
    <w:rsid w:val="004C0411"/>
    <w:rsid w:val="004C1A44"/>
    <w:rsid w:val="004D03AA"/>
    <w:rsid w:val="004D12F3"/>
    <w:rsid w:val="004D1F5E"/>
    <w:rsid w:val="004D33B0"/>
    <w:rsid w:val="004D3E68"/>
    <w:rsid w:val="004D42BC"/>
    <w:rsid w:val="004F62A7"/>
    <w:rsid w:val="005001C9"/>
    <w:rsid w:val="005022F1"/>
    <w:rsid w:val="00504D83"/>
    <w:rsid w:val="0050754A"/>
    <w:rsid w:val="00510DE0"/>
    <w:rsid w:val="00512EB1"/>
    <w:rsid w:val="0051553A"/>
    <w:rsid w:val="0051629B"/>
    <w:rsid w:val="005163F0"/>
    <w:rsid w:val="00516EFB"/>
    <w:rsid w:val="00517870"/>
    <w:rsid w:val="0052574D"/>
    <w:rsid w:val="0052636B"/>
    <w:rsid w:val="00526E6F"/>
    <w:rsid w:val="005367E8"/>
    <w:rsid w:val="00537B23"/>
    <w:rsid w:val="005422F8"/>
    <w:rsid w:val="00543D2D"/>
    <w:rsid w:val="00550E45"/>
    <w:rsid w:val="00551E13"/>
    <w:rsid w:val="00551F2A"/>
    <w:rsid w:val="00552160"/>
    <w:rsid w:val="0055486C"/>
    <w:rsid w:val="00557271"/>
    <w:rsid w:val="00560CEE"/>
    <w:rsid w:val="00570F6D"/>
    <w:rsid w:val="00574E0A"/>
    <w:rsid w:val="00577AD7"/>
    <w:rsid w:val="00580932"/>
    <w:rsid w:val="00581A35"/>
    <w:rsid w:val="00582C88"/>
    <w:rsid w:val="00583683"/>
    <w:rsid w:val="0058398B"/>
    <w:rsid w:val="00583F0C"/>
    <w:rsid w:val="00583FFF"/>
    <w:rsid w:val="00587296"/>
    <w:rsid w:val="00591B98"/>
    <w:rsid w:val="00593999"/>
    <w:rsid w:val="00595640"/>
    <w:rsid w:val="00595D03"/>
    <w:rsid w:val="00596C7F"/>
    <w:rsid w:val="005A2026"/>
    <w:rsid w:val="005A2E46"/>
    <w:rsid w:val="005A5DCD"/>
    <w:rsid w:val="005A7CDF"/>
    <w:rsid w:val="005B1520"/>
    <w:rsid w:val="005B44DC"/>
    <w:rsid w:val="005C0064"/>
    <w:rsid w:val="005C2093"/>
    <w:rsid w:val="005C2655"/>
    <w:rsid w:val="005C39D3"/>
    <w:rsid w:val="005C685E"/>
    <w:rsid w:val="005D148E"/>
    <w:rsid w:val="005D1B60"/>
    <w:rsid w:val="005D3F3A"/>
    <w:rsid w:val="005D4F05"/>
    <w:rsid w:val="005D6F5A"/>
    <w:rsid w:val="005E0F8E"/>
    <w:rsid w:val="005E1EEE"/>
    <w:rsid w:val="005E225D"/>
    <w:rsid w:val="005E5F64"/>
    <w:rsid w:val="005E6C32"/>
    <w:rsid w:val="005F0995"/>
    <w:rsid w:val="005F18D1"/>
    <w:rsid w:val="005F249C"/>
    <w:rsid w:val="005F3181"/>
    <w:rsid w:val="005F7F02"/>
    <w:rsid w:val="0060216A"/>
    <w:rsid w:val="00603786"/>
    <w:rsid w:val="00607AEB"/>
    <w:rsid w:val="006125E9"/>
    <w:rsid w:val="006175A4"/>
    <w:rsid w:val="0062051B"/>
    <w:rsid w:val="0062524C"/>
    <w:rsid w:val="00636DC0"/>
    <w:rsid w:val="00637632"/>
    <w:rsid w:val="006377BF"/>
    <w:rsid w:val="00637829"/>
    <w:rsid w:val="00643D9C"/>
    <w:rsid w:val="00654B10"/>
    <w:rsid w:val="00655ACF"/>
    <w:rsid w:val="0066222C"/>
    <w:rsid w:val="00662D84"/>
    <w:rsid w:val="00672DA4"/>
    <w:rsid w:val="00674430"/>
    <w:rsid w:val="00674C6F"/>
    <w:rsid w:val="00676E50"/>
    <w:rsid w:val="006805B7"/>
    <w:rsid w:val="00685BDD"/>
    <w:rsid w:val="00686167"/>
    <w:rsid w:val="00687203"/>
    <w:rsid w:val="00687424"/>
    <w:rsid w:val="006904FE"/>
    <w:rsid w:val="00692F3F"/>
    <w:rsid w:val="00694CE5"/>
    <w:rsid w:val="00695303"/>
    <w:rsid w:val="006A309C"/>
    <w:rsid w:val="006A66C0"/>
    <w:rsid w:val="006B573B"/>
    <w:rsid w:val="006C00B9"/>
    <w:rsid w:val="006C0A05"/>
    <w:rsid w:val="006C240D"/>
    <w:rsid w:val="006C36F5"/>
    <w:rsid w:val="006C5FE3"/>
    <w:rsid w:val="006C7089"/>
    <w:rsid w:val="006C757E"/>
    <w:rsid w:val="006D0C9C"/>
    <w:rsid w:val="006E19B5"/>
    <w:rsid w:val="006E41E5"/>
    <w:rsid w:val="006F3D06"/>
    <w:rsid w:val="006F4CC5"/>
    <w:rsid w:val="006F74C5"/>
    <w:rsid w:val="006F7E17"/>
    <w:rsid w:val="0070084B"/>
    <w:rsid w:val="00701B13"/>
    <w:rsid w:val="007066BF"/>
    <w:rsid w:val="00707D83"/>
    <w:rsid w:val="0071012A"/>
    <w:rsid w:val="007115AD"/>
    <w:rsid w:val="007129E9"/>
    <w:rsid w:val="007149F2"/>
    <w:rsid w:val="00716565"/>
    <w:rsid w:val="007208A1"/>
    <w:rsid w:val="00720D82"/>
    <w:rsid w:val="0072370E"/>
    <w:rsid w:val="00724F68"/>
    <w:rsid w:val="00727AAC"/>
    <w:rsid w:val="00727BE0"/>
    <w:rsid w:val="007305BD"/>
    <w:rsid w:val="00735B39"/>
    <w:rsid w:val="0074136A"/>
    <w:rsid w:val="00741A4C"/>
    <w:rsid w:val="007464E3"/>
    <w:rsid w:val="00750B34"/>
    <w:rsid w:val="00750E1D"/>
    <w:rsid w:val="00753004"/>
    <w:rsid w:val="00753332"/>
    <w:rsid w:val="00753916"/>
    <w:rsid w:val="00756776"/>
    <w:rsid w:val="00756E2F"/>
    <w:rsid w:val="007579D4"/>
    <w:rsid w:val="00760AF8"/>
    <w:rsid w:val="00763049"/>
    <w:rsid w:val="00771992"/>
    <w:rsid w:val="00772BA2"/>
    <w:rsid w:val="00777507"/>
    <w:rsid w:val="00777D4A"/>
    <w:rsid w:val="00781873"/>
    <w:rsid w:val="00785558"/>
    <w:rsid w:val="007864D4"/>
    <w:rsid w:val="007939BA"/>
    <w:rsid w:val="00794356"/>
    <w:rsid w:val="007A35F3"/>
    <w:rsid w:val="007A58E4"/>
    <w:rsid w:val="007B3E0C"/>
    <w:rsid w:val="007B5BD2"/>
    <w:rsid w:val="007C4807"/>
    <w:rsid w:val="007C5530"/>
    <w:rsid w:val="007D0F7D"/>
    <w:rsid w:val="007D129C"/>
    <w:rsid w:val="007D4152"/>
    <w:rsid w:val="007D64D5"/>
    <w:rsid w:val="007E7A99"/>
    <w:rsid w:val="007F1349"/>
    <w:rsid w:val="007F17C1"/>
    <w:rsid w:val="007F1A80"/>
    <w:rsid w:val="00800BF6"/>
    <w:rsid w:val="008070F1"/>
    <w:rsid w:val="008079D6"/>
    <w:rsid w:val="008103B3"/>
    <w:rsid w:val="00814377"/>
    <w:rsid w:val="00816BD4"/>
    <w:rsid w:val="00820647"/>
    <w:rsid w:val="00822FAD"/>
    <w:rsid w:val="008247D4"/>
    <w:rsid w:val="00834F6D"/>
    <w:rsid w:val="00841D62"/>
    <w:rsid w:val="0084519C"/>
    <w:rsid w:val="00846350"/>
    <w:rsid w:val="00847314"/>
    <w:rsid w:val="008501C9"/>
    <w:rsid w:val="00854F41"/>
    <w:rsid w:val="00867845"/>
    <w:rsid w:val="00870BF2"/>
    <w:rsid w:val="008712DA"/>
    <w:rsid w:val="0087512B"/>
    <w:rsid w:val="00875EF3"/>
    <w:rsid w:val="00880009"/>
    <w:rsid w:val="0088482A"/>
    <w:rsid w:val="008902F0"/>
    <w:rsid w:val="00896107"/>
    <w:rsid w:val="008A2C16"/>
    <w:rsid w:val="008A3E1E"/>
    <w:rsid w:val="008A459A"/>
    <w:rsid w:val="008C3423"/>
    <w:rsid w:val="008C348E"/>
    <w:rsid w:val="008C3BA6"/>
    <w:rsid w:val="008C42D4"/>
    <w:rsid w:val="008C5D5C"/>
    <w:rsid w:val="008C79B7"/>
    <w:rsid w:val="008D6C57"/>
    <w:rsid w:val="008E3FF6"/>
    <w:rsid w:val="008E7C3A"/>
    <w:rsid w:val="008F259D"/>
    <w:rsid w:val="008F44A8"/>
    <w:rsid w:val="008F5E65"/>
    <w:rsid w:val="00900CF4"/>
    <w:rsid w:val="00904673"/>
    <w:rsid w:val="00907B94"/>
    <w:rsid w:val="00907DF5"/>
    <w:rsid w:val="00912881"/>
    <w:rsid w:val="0091435F"/>
    <w:rsid w:val="009147D5"/>
    <w:rsid w:val="00931D21"/>
    <w:rsid w:val="0093582B"/>
    <w:rsid w:val="00950FA4"/>
    <w:rsid w:val="00962BFB"/>
    <w:rsid w:val="00964C7A"/>
    <w:rsid w:val="00967833"/>
    <w:rsid w:val="00973196"/>
    <w:rsid w:val="00974915"/>
    <w:rsid w:val="009754B5"/>
    <w:rsid w:val="00982ED2"/>
    <w:rsid w:val="00984171"/>
    <w:rsid w:val="009876D8"/>
    <w:rsid w:val="00987FF6"/>
    <w:rsid w:val="009946A4"/>
    <w:rsid w:val="00994CF2"/>
    <w:rsid w:val="009A041A"/>
    <w:rsid w:val="009A07EA"/>
    <w:rsid w:val="009A370F"/>
    <w:rsid w:val="009A3E04"/>
    <w:rsid w:val="009A4039"/>
    <w:rsid w:val="009A7531"/>
    <w:rsid w:val="009B00C4"/>
    <w:rsid w:val="009B0CA4"/>
    <w:rsid w:val="009B164B"/>
    <w:rsid w:val="009B17E8"/>
    <w:rsid w:val="009B1C3B"/>
    <w:rsid w:val="009B2A25"/>
    <w:rsid w:val="009B3668"/>
    <w:rsid w:val="009B4BC4"/>
    <w:rsid w:val="009B565A"/>
    <w:rsid w:val="009B7C7E"/>
    <w:rsid w:val="009C078A"/>
    <w:rsid w:val="009C239F"/>
    <w:rsid w:val="009C5147"/>
    <w:rsid w:val="009C6656"/>
    <w:rsid w:val="009D35B9"/>
    <w:rsid w:val="009D42A2"/>
    <w:rsid w:val="009D5AC2"/>
    <w:rsid w:val="009F14FD"/>
    <w:rsid w:val="009F195D"/>
    <w:rsid w:val="009F353E"/>
    <w:rsid w:val="009F3978"/>
    <w:rsid w:val="009F5E87"/>
    <w:rsid w:val="00A00164"/>
    <w:rsid w:val="00A00742"/>
    <w:rsid w:val="00A0678C"/>
    <w:rsid w:val="00A13D87"/>
    <w:rsid w:val="00A20A73"/>
    <w:rsid w:val="00A3036D"/>
    <w:rsid w:val="00A347ED"/>
    <w:rsid w:val="00A376A3"/>
    <w:rsid w:val="00A46E7F"/>
    <w:rsid w:val="00A5713C"/>
    <w:rsid w:val="00A57E6E"/>
    <w:rsid w:val="00A6213E"/>
    <w:rsid w:val="00A63EB6"/>
    <w:rsid w:val="00A70497"/>
    <w:rsid w:val="00A73D11"/>
    <w:rsid w:val="00A82C8C"/>
    <w:rsid w:val="00A867B0"/>
    <w:rsid w:val="00A87ED3"/>
    <w:rsid w:val="00A9363D"/>
    <w:rsid w:val="00AA09CD"/>
    <w:rsid w:val="00AA1396"/>
    <w:rsid w:val="00AA208F"/>
    <w:rsid w:val="00AA6E49"/>
    <w:rsid w:val="00AA6E83"/>
    <w:rsid w:val="00AA7075"/>
    <w:rsid w:val="00AB33AC"/>
    <w:rsid w:val="00AB367B"/>
    <w:rsid w:val="00AB5299"/>
    <w:rsid w:val="00AB5EB0"/>
    <w:rsid w:val="00AB674F"/>
    <w:rsid w:val="00AC1513"/>
    <w:rsid w:val="00AC6E5E"/>
    <w:rsid w:val="00AC6E86"/>
    <w:rsid w:val="00AD359D"/>
    <w:rsid w:val="00AD60DC"/>
    <w:rsid w:val="00AE765B"/>
    <w:rsid w:val="00AE7A5F"/>
    <w:rsid w:val="00AF0CA2"/>
    <w:rsid w:val="00AF249E"/>
    <w:rsid w:val="00AF46C7"/>
    <w:rsid w:val="00AF73AE"/>
    <w:rsid w:val="00B0134A"/>
    <w:rsid w:val="00B01CC5"/>
    <w:rsid w:val="00B04AB9"/>
    <w:rsid w:val="00B0502D"/>
    <w:rsid w:val="00B12220"/>
    <w:rsid w:val="00B123B3"/>
    <w:rsid w:val="00B14BBE"/>
    <w:rsid w:val="00B15547"/>
    <w:rsid w:val="00B158B2"/>
    <w:rsid w:val="00B16045"/>
    <w:rsid w:val="00B17809"/>
    <w:rsid w:val="00B17FDA"/>
    <w:rsid w:val="00B2000A"/>
    <w:rsid w:val="00B2140D"/>
    <w:rsid w:val="00B2400F"/>
    <w:rsid w:val="00B2582E"/>
    <w:rsid w:val="00B261FE"/>
    <w:rsid w:val="00B26EFB"/>
    <w:rsid w:val="00B32145"/>
    <w:rsid w:val="00B359AD"/>
    <w:rsid w:val="00B377C0"/>
    <w:rsid w:val="00B404C3"/>
    <w:rsid w:val="00B41152"/>
    <w:rsid w:val="00B4130D"/>
    <w:rsid w:val="00B416FE"/>
    <w:rsid w:val="00B4310B"/>
    <w:rsid w:val="00B44C12"/>
    <w:rsid w:val="00B50EA2"/>
    <w:rsid w:val="00B52F4F"/>
    <w:rsid w:val="00B628D7"/>
    <w:rsid w:val="00B63C97"/>
    <w:rsid w:val="00B64982"/>
    <w:rsid w:val="00B653EA"/>
    <w:rsid w:val="00B6737C"/>
    <w:rsid w:val="00B71CB2"/>
    <w:rsid w:val="00B75CE3"/>
    <w:rsid w:val="00B807BE"/>
    <w:rsid w:val="00B80D0E"/>
    <w:rsid w:val="00B814FB"/>
    <w:rsid w:val="00B90A2A"/>
    <w:rsid w:val="00B96638"/>
    <w:rsid w:val="00BA00A6"/>
    <w:rsid w:val="00BA095F"/>
    <w:rsid w:val="00BA0C47"/>
    <w:rsid w:val="00BA3742"/>
    <w:rsid w:val="00BA3D8C"/>
    <w:rsid w:val="00BA3E6A"/>
    <w:rsid w:val="00BA708E"/>
    <w:rsid w:val="00BB262A"/>
    <w:rsid w:val="00BB2833"/>
    <w:rsid w:val="00BB7857"/>
    <w:rsid w:val="00BD5A97"/>
    <w:rsid w:val="00BE162E"/>
    <w:rsid w:val="00BE1F87"/>
    <w:rsid w:val="00BE225B"/>
    <w:rsid w:val="00BF00F6"/>
    <w:rsid w:val="00BF125F"/>
    <w:rsid w:val="00BF38DF"/>
    <w:rsid w:val="00BF7DE3"/>
    <w:rsid w:val="00BF7E41"/>
    <w:rsid w:val="00C01823"/>
    <w:rsid w:val="00C02E88"/>
    <w:rsid w:val="00C11977"/>
    <w:rsid w:val="00C11B03"/>
    <w:rsid w:val="00C11D25"/>
    <w:rsid w:val="00C14967"/>
    <w:rsid w:val="00C162F1"/>
    <w:rsid w:val="00C211C0"/>
    <w:rsid w:val="00C211EB"/>
    <w:rsid w:val="00C26BEB"/>
    <w:rsid w:val="00C315CF"/>
    <w:rsid w:val="00C33357"/>
    <w:rsid w:val="00C4141B"/>
    <w:rsid w:val="00C41F64"/>
    <w:rsid w:val="00C43431"/>
    <w:rsid w:val="00C45BEA"/>
    <w:rsid w:val="00C46BDA"/>
    <w:rsid w:val="00C477D4"/>
    <w:rsid w:val="00C50221"/>
    <w:rsid w:val="00C52D1A"/>
    <w:rsid w:val="00C55617"/>
    <w:rsid w:val="00C55BE9"/>
    <w:rsid w:val="00C56FF8"/>
    <w:rsid w:val="00C60DA9"/>
    <w:rsid w:val="00C6138D"/>
    <w:rsid w:val="00C70ABB"/>
    <w:rsid w:val="00C8283B"/>
    <w:rsid w:val="00C9652D"/>
    <w:rsid w:val="00C96BC0"/>
    <w:rsid w:val="00C9733A"/>
    <w:rsid w:val="00CA09AC"/>
    <w:rsid w:val="00CA1C8B"/>
    <w:rsid w:val="00CA5C70"/>
    <w:rsid w:val="00CB0DD6"/>
    <w:rsid w:val="00CB22FC"/>
    <w:rsid w:val="00CB4934"/>
    <w:rsid w:val="00CB77DD"/>
    <w:rsid w:val="00CC1AD8"/>
    <w:rsid w:val="00CC377E"/>
    <w:rsid w:val="00CC5199"/>
    <w:rsid w:val="00CC57C2"/>
    <w:rsid w:val="00CD0D0F"/>
    <w:rsid w:val="00CD34D3"/>
    <w:rsid w:val="00CD5217"/>
    <w:rsid w:val="00CE00CF"/>
    <w:rsid w:val="00CE07A9"/>
    <w:rsid w:val="00CE23AD"/>
    <w:rsid w:val="00CE4FBA"/>
    <w:rsid w:val="00CF0544"/>
    <w:rsid w:val="00CF782C"/>
    <w:rsid w:val="00CF7843"/>
    <w:rsid w:val="00D05264"/>
    <w:rsid w:val="00D05638"/>
    <w:rsid w:val="00D06790"/>
    <w:rsid w:val="00D1017B"/>
    <w:rsid w:val="00D14D73"/>
    <w:rsid w:val="00D23088"/>
    <w:rsid w:val="00D238B9"/>
    <w:rsid w:val="00D2695F"/>
    <w:rsid w:val="00D35E15"/>
    <w:rsid w:val="00D36514"/>
    <w:rsid w:val="00D45E42"/>
    <w:rsid w:val="00D53B28"/>
    <w:rsid w:val="00D53C76"/>
    <w:rsid w:val="00D55421"/>
    <w:rsid w:val="00D557D1"/>
    <w:rsid w:val="00D56087"/>
    <w:rsid w:val="00D61D1B"/>
    <w:rsid w:val="00D63FDD"/>
    <w:rsid w:val="00D67091"/>
    <w:rsid w:val="00D70A5C"/>
    <w:rsid w:val="00D71418"/>
    <w:rsid w:val="00D72679"/>
    <w:rsid w:val="00D731F3"/>
    <w:rsid w:val="00D754C7"/>
    <w:rsid w:val="00D759FE"/>
    <w:rsid w:val="00D75D76"/>
    <w:rsid w:val="00D83F96"/>
    <w:rsid w:val="00D8791A"/>
    <w:rsid w:val="00D9182B"/>
    <w:rsid w:val="00D93289"/>
    <w:rsid w:val="00DA001E"/>
    <w:rsid w:val="00DA1908"/>
    <w:rsid w:val="00DA6101"/>
    <w:rsid w:val="00DA693B"/>
    <w:rsid w:val="00DB29BD"/>
    <w:rsid w:val="00DB2F7C"/>
    <w:rsid w:val="00DB4180"/>
    <w:rsid w:val="00DB592E"/>
    <w:rsid w:val="00DB6814"/>
    <w:rsid w:val="00DC0F14"/>
    <w:rsid w:val="00DC2225"/>
    <w:rsid w:val="00DC3033"/>
    <w:rsid w:val="00DD335A"/>
    <w:rsid w:val="00DD3427"/>
    <w:rsid w:val="00DD424D"/>
    <w:rsid w:val="00DD68AC"/>
    <w:rsid w:val="00DE57C0"/>
    <w:rsid w:val="00DF3C82"/>
    <w:rsid w:val="00DF4408"/>
    <w:rsid w:val="00E000FC"/>
    <w:rsid w:val="00E11413"/>
    <w:rsid w:val="00E15636"/>
    <w:rsid w:val="00E24EE0"/>
    <w:rsid w:val="00E2546D"/>
    <w:rsid w:val="00E27A57"/>
    <w:rsid w:val="00E34CF3"/>
    <w:rsid w:val="00E378FA"/>
    <w:rsid w:val="00E40668"/>
    <w:rsid w:val="00E42CCF"/>
    <w:rsid w:val="00E46F30"/>
    <w:rsid w:val="00E47628"/>
    <w:rsid w:val="00E47B67"/>
    <w:rsid w:val="00E523F1"/>
    <w:rsid w:val="00E52C55"/>
    <w:rsid w:val="00E533D1"/>
    <w:rsid w:val="00E53C31"/>
    <w:rsid w:val="00E54478"/>
    <w:rsid w:val="00E60E86"/>
    <w:rsid w:val="00E66418"/>
    <w:rsid w:val="00E73F79"/>
    <w:rsid w:val="00E81A78"/>
    <w:rsid w:val="00E83F37"/>
    <w:rsid w:val="00E96F79"/>
    <w:rsid w:val="00EA12F9"/>
    <w:rsid w:val="00EA2A9D"/>
    <w:rsid w:val="00EA391E"/>
    <w:rsid w:val="00EA6F93"/>
    <w:rsid w:val="00EB3303"/>
    <w:rsid w:val="00EC0D36"/>
    <w:rsid w:val="00EC29DF"/>
    <w:rsid w:val="00EC2BA4"/>
    <w:rsid w:val="00EC3FEF"/>
    <w:rsid w:val="00EE0DBC"/>
    <w:rsid w:val="00EE31F9"/>
    <w:rsid w:val="00EE49DF"/>
    <w:rsid w:val="00EE5B4D"/>
    <w:rsid w:val="00EF0FE8"/>
    <w:rsid w:val="00EF3031"/>
    <w:rsid w:val="00EF3982"/>
    <w:rsid w:val="00F1316C"/>
    <w:rsid w:val="00F13864"/>
    <w:rsid w:val="00F14A98"/>
    <w:rsid w:val="00F2016D"/>
    <w:rsid w:val="00F23136"/>
    <w:rsid w:val="00F23EAB"/>
    <w:rsid w:val="00F24F5E"/>
    <w:rsid w:val="00F31A0C"/>
    <w:rsid w:val="00F31F96"/>
    <w:rsid w:val="00F32920"/>
    <w:rsid w:val="00F333BB"/>
    <w:rsid w:val="00F33837"/>
    <w:rsid w:val="00F34042"/>
    <w:rsid w:val="00F3419F"/>
    <w:rsid w:val="00F41D93"/>
    <w:rsid w:val="00F422BE"/>
    <w:rsid w:val="00F42E69"/>
    <w:rsid w:val="00F47859"/>
    <w:rsid w:val="00F5068E"/>
    <w:rsid w:val="00F520A7"/>
    <w:rsid w:val="00F563C1"/>
    <w:rsid w:val="00F61A8E"/>
    <w:rsid w:val="00F652F8"/>
    <w:rsid w:val="00F7062E"/>
    <w:rsid w:val="00F725D1"/>
    <w:rsid w:val="00F72EDC"/>
    <w:rsid w:val="00F7358A"/>
    <w:rsid w:val="00F74715"/>
    <w:rsid w:val="00F74ADD"/>
    <w:rsid w:val="00F80815"/>
    <w:rsid w:val="00F80A28"/>
    <w:rsid w:val="00F81087"/>
    <w:rsid w:val="00F82416"/>
    <w:rsid w:val="00F85546"/>
    <w:rsid w:val="00F90E01"/>
    <w:rsid w:val="00F929E4"/>
    <w:rsid w:val="00F977A6"/>
    <w:rsid w:val="00F97D69"/>
    <w:rsid w:val="00FA0FC2"/>
    <w:rsid w:val="00FA4DE4"/>
    <w:rsid w:val="00FA5CAA"/>
    <w:rsid w:val="00FA79ED"/>
    <w:rsid w:val="00FB07B1"/>
    <w:rsid w:val="00FB227B"/>
    <w:rsid w:val="00FB256C"/>
    <w:rsid w:val="00FB3838"/>
    <w:rsid w:val="00FB4B03"/>
    <w:rsid w:val="00FB5241"/>
    <w:rsid w:val="00FC06DC"/>
    <w:rsid w:val="00FC6D3B"/>
    <w:rsid w:val="00FD1186"/>
    <w:rsid w:val="00FD46C6"/>
    <w:rsid w:val="00FD58B1"/>
    <w:rsid w:val="00FD7E88"/>
    <w:rsid w:val="00FE3D7B"/>
    <w:rsid w:val="00FE5639"/>
    <w:rsid w:val="00FE5E69"/>
    <w:rsid w:val="00FE6A19"/>
    <w:rsid w:val="00FE7830"/>
    <w:rsid w:val="00FF40CF"/>
    <w:rsid w:val="00FF5AEF"/>
    <w:rsid w:val="00FF79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A460E"/>
  <w15:docId w15:val="{1DB9F2EA-B93E-4C20-9A37-C27CAE6AC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Main headline"/>
    <w:basedOn w:val="Normal"/>
    <w:next w:val="Normal"/>
    <w:link w:val="Heading1Char"/>
    <w:uiPriority w:val="9"/>
    <w:qFormat/>
    <w:rsid w:val="00BB262A"/>
    <w:pPr>
      <w:keepNext/>
      <w:keepLines/>
      <w:outlineLvl w:val="0"/>
    </w:pPr>
    <w:rPr>
      <w:rFonts w:asciiTheme="majorHAnsi" w:eastAsiaTheme="majorEastAsia" w:hAnsiTheme="majorHAnsi" w:cstheme="majorBidi"/>
      <w:b/>
      <w:bCs/>
      <w:color w:val="3B8686" w:themeColor="accent1"/>
      <w:sz w:val="28"/>
      <w:szCs w:val="28"/>
    </w:rPr>
  </w:style>
  <w:style w:type="paragraph" w:styleId="Heading2">
    <w:name w:val="heading 2"/>
    <w:basedOn w:val="Normal"/>
    <w:next w:val="Normal"/>
    <w:link w:val="Heading2Char"/>
    <w:uiPriority w:val="9"/>
    <w:unhideWhenUsed/>
    <w:qFormat/>
    <w:rsid w:val="00C60DA9"/>
    <w:pPr>
      <w:keepNext/>
      <w:keepLines/>
      <w:spacing w:before="40"/>
      <w:outlineLvl w:val="1"/>
    </w:pPr>
    <w:rPr>
      <w:rFonts w:asciiTheme="majorHAnsi" w:eastAsiaTheme="majorEastAsia" w:hAnsiTheme="majorHAnsi" w:cstheme="majorBidi"/>
      <w:color w:val="2C6464" w:themeColor="accent1" w:themeShade="BF"/>
      <w:sz w:val="26"/>
      <w:szCs w:val="26"/>
    </w:rPr>
  </w:style>
  <w:style w:type="paragraph" w:styleId="Heading3">
    <w:name w:val="heading 3"/>
    <w:basedOn w:val="Normal"/>
    <w:next w:val="Normal"/>
    <w:link w:val="Heading3Char"/>
    <w:uiPriority w:val="9"/>
    <w:semiHidden/>
    <w:unhideWhenUsed/>
    <w:qFormat/>
    <w:rsid w:val="00800BF6"/>
    <w:pPr>
      <w:keepNext/>
      <w:keepLines/>
      <w:spacing w:before="40"/>
      <w:outlineLvl w:val="2"/>
    </w:pPr>
    <w:rPr>
      <w:rFonts w:asciiTheme="majorHAnsi" w:eastAsiaTheme="majorEastAsia" w:hAnsiTheme="majorHAnsi" w:cstheme="majorBidi"/>
      <w:color w:val="1D4242"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4536"/>
    <w:pPr>
      <w:tabs>
        <w:tab w:val="center" w:pos="4513"/>
        <w:tab w:val="right" w:pos="9026"/>
      </w:tabs>
    </w:pPr>
  </w:style>
  <w:style w:type="character" w:customStyle="1" w:styleId="HeaderChar">
    <w:name w:val="Header Char"/>
    <w:basedOn w:val="DefaultParagraphFont"/>
    <w:link w:val="Header"/>
    <w:uiPriority w:val="99"/>
    <w:rsid w:val="00204536"/>
  </w:style>
  <w:style w:type="paragraph" w:styleId="Footer">
    <w:name w:val="footer"/>
    <w:basedOn w:val="Normal"/>
    <w:link w:val="FooterChar"/>
    <w:uiPriority w:val="99"/>
    <w:unhideWhenUsed/>
    <w:rsid w:val="00204536"/>
    <w:pPr>
      <w:tabs>
        <w:tab w:val="center" w:pos="4513"/>
        <w:tab w:val="right" w:pos="9026"/>
      </w:tabs>
    </w:pPr>
  </w:style>
  <w:style w:type="character" w:customStyle="1" w:styleId="FooterChar">
    <w:name w:val="Footer Char"/>
    <w:basedOn w:val="DefaultParagraphFont"/>
    <w:link w:val="Footer"/>
    <w:uiPriority w:val="99"/>
    <w:rsid w:val="00204536"/>
  </w:style>
  <w:style w:type="paragraph" w:styleId="BalloonText">
    <w:name w:val="Balloon Text"/>
    <w:basedOn w:val="Normal"/>
    <w:link w:val="BalloonTextChar"/>
    <w:uiPriority w:val="99"/>
    <w:semiHidden/>
    <w:unhideWhenUsed/>
    <w:rsid w:val="00204536"/>
    <w:rPr>
      <w:rFonts w:ascii="Tahoma" w:hAnsi="Tahoma" w:cs="Tahoma"/>
      <w:sz w:val="16"/>
      <w:szCs w:val="16"/>
    </w:rPr>
  </w:style>
  <w:style w:type="character" w:customStyle="1" w:styleId="BalloonTextChar">
    <w:name w:val="Balloon Text Char"/>
    <w:basedOn w:val="DefaultParagraphFont"/>
    <w:link w:val="BalloonText"/>
    <w:uiPriority w:val="99"/>
    <w:semiHidden/>
    <w:rsid w:val="00204536"/>
    <w:rPr>
      <w:rFonts w:ascii="Tahoma" w:hAnsi="Tahoma" w:cs="Tahoma"/>
      <w:sz w:val="16"/>
      <w:szCs w:val="16"/>
    </w:rPr>
  </w:style>
  <w:style w:type="table" w:styleId="TableGrid">
    <w:name w:val="Table Grid"/>
    <w:basedOn w:val="TableNormal"/>
    <w:uiPriority w:val="39"/>
    <w:rsid w:val="00CA5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C70"/>
    <w:rPr>
      <w:color w:val="4F81BD" w:themeColor="hyperlink"/>
      <w:u w:val="single"/>
    </w:rPr>
  </w:style>
  <w:style w:type="paragraph" w:styleId="NormalWeb">
    <w:name w:val="Normal (Web)"/>
    <w:basedOn w:val="Normal"/>
    <w:uiPriority w:val="99"/>
    <w:unhideWhenUsed/>
    <w:rsid w:val="00E11413"/>
    <w:pPr>
      <w:spacing w:before="100" w:beforeAutospacing="1" w:after="100" w:afterAutospacing="1"/>
    </w:pPr>
    <w:rPr>
      <w:rFonts w:ascii="Times" w:eastAsiaTheme="minorEastAsia" w:hAnsi="Times" w:cs="Times New Roman"/>
      <w:sz w:val="20"/>
      <w:szCs w:val="20"/>
    </w:rPr>
  </w:style>
  <w:style w:type="paragraph" w:styleId="ListParagraph">
    <w:name w:val="List Paragraph"/>
    <w:aliases w:val="List Paragraph1,List Paragraph11,Recommendation,1 heading,Bullet point,Bulleted Para,DDM Gen Text,Dot point 1.5 line spacing,FooterText,L,List Paragraph - bullets,List Paragraph2,NFP GP Bulleted List,bullet point list,numbered,列出段落,列出段落1"/>
    <w:basedOn w:val="Normal"/>
    <w:link w:val="ListParagraphChar"/>
    <w:uiPriority w:val="34"/>
    <w:qFormat/>
    <w:rsid w:val="00E11413"/>
    <w:pPr>
      <w:ind w:left="720"/>
      <w:contextualSpacing/>
    </w:pPr>
    <w:rPr>
      <w:sz w:val="24"/>
      <w:szCs w:val="24"/>
      <w:lang w:val="en-GB"/>
    </w:rPr>
  </w:style>
  <w:style w:type="character" w:customStyle="1" w:styleId="Heading1Char">
    <w:name w:val="Heading 1 Char"/>
    <w:aliases w:val="Main headline Char"/>
    <w:basedOn w:val="DefaultParagraphFont"/>
    <w:link w:val="Heading1"/>
    <w:uiPriority w:val="9"/>
    <w:rsid w:val="00BB262A"/>
    <w:rPr>
      <w:rFonts w:asciiTheme="majorHAnsi" w:eastAsiaTheme="majorEastAsia" w:hAnsiTheme="majorHAnsi" w:cstheme="majorBidi"/>
      <w:b/>
      <w:bCs/>
      <w:color w:val="3B8686" w:themeColor="accent1"/>
      <w:sz w:val="28"/>
      <w:szCs w:val="28"/>
    </w:rPr>
  </w:style>
  <w:style w:type="table" w:styleId="LightShading-Accent2">
    <w:name w:val="Light Shading Accent 2"/>
    <w:basedOn w:val="TableNormal"/>
    <w:uiPriority w:val="60"/>
    <w:rsid w:val="00473D77"/>
    <w:rPr>
      <w:color w:val="4C9B72" w:themeColor="accent2" w:themeShade="BF"/>
    </w:rPr>
    <w:tblPr>
      <w:tblStyleRowBandSize w:val="1"/>
      <w:tblStyleColBandSize w:val="1"/>
      <w:tblBorders>
        <w:top w:val="single" w:sz="8" w:space="0" w:color="79BD9A" w:themeColor="accent2"/>
        <w:bottom w:val="single" w:sz="8" w:space="0" w:color="79BD9A" w:themeColor="accent2"/>
      </w:tblBorders>
    </w:tblPr>
    <w:tblStylePr w:type="firstRow">
      <w:pPr>
        <w:spacing w:before="0" w:after="0" w:line="240" w:lineRule="auto"/>
      </w:pPr>
      <w:rPr>
        <w:b/>
        <w:bCs/>
      </w:rPr>
      <w:tblPr/>
      <w:tcPr>
        <w:tcBorders>
          <w:top w:val="single" w:sz="8" w:space="0" w:color="79BD9A" w:themeColor="accent2"/>
          <w:left w:val="nil"/>
          <w:bottom w:val="single" w:sz="8" w:space="0" w:color="79BD9A" w:themeColor="accent2"/>
          <w:right w:val="nil"/>
          <w:insideH w:val="nil"/>
          <w:insideV w:val="nil"/>
        </w:tcBorders>
      </w:tcPr>
    </w:tblStylePr>
    <w:tblStylePr w:type="lastRow">
      <w:pPr>
        <w:spacing w:before="0" w:after="0" w:line="240" w:lineRule="auto"/>
      </w:pPr>
      <w:rPr>
        <w:b/>
        <w:bCs/>
      </w:rPr>
      <w:tblPr/>
      <w:tcPr>
        <w:tcBorders>
          <w:top w:val="single" w:sz="8" w:space="0" w:color="79BD9A" w:themeColor="accent2"/>
          <w:left w:val="nil"/>
          <w:bottom w:val="single" w:sz="8" w:space="0" w:color="79BD9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EEE5" w:themeFill="accent2" w:themeFillTint="3F"/>
      </w:tcPr>
    </w:tblStylePr>
    <w:tblStylePr w:type="band1Horz">
      <w:tblPr/>
      <w:tcPr>
        <w:tcBorders>
          <w:left w:val="nil"/>
          <w:right w:val="nil"/>
          <w:insideH w:val="nil"/>
          <w:insideV w:val="nil"/>
        </w:tcBorders>
        <w:shd w:val="clear" w:color="auto" w:fill="DDEEE5" w:themeFill="accent2" w:themeFillTint="3F"/>
      </w:tcPr>
    </w:tblStylePr>
  </w:style>
  <w:style w:type="table" w:styleId="LightShading-Accent1">
    <w:name w:val="Light Shading Accent 1"/>
    <w:basedOn w:val="TableNormal"/>
    <w:uiPriority w:val="60"/>
    <w:rsid w:val="00473D77"/>
    <w:rPr>
      <w:color w:val="2C6464" w:themeColor="accent1" w:themeShade="BF"/>
    </w:rPr>
    <w:tblPr>
      <w:tblStyleRowBandSize w:val="1"/>
      <w:tblStyleColBandSize w:val="1"/>
      <w:tblBorders>
        <w:top w:val="single" w:sz="8" w:space="0" w:color="3B8686" w:themeColor="accent1"/>
        <w:bottom w:val="single" w:sz="8" w:space="0" w:color="3B8686" w:themeColor="accent1"/>
      </w:tblBorders>
    </w:tblPr>
    <w:tblStylePr w:type="firstRow">
      <w:pPr>
        <w:spacing w:before="0" w:after="0" w:line="240" w:lineRule="auto"/>
      </w:pPr>
      <w:rPr>
        <w:b/>
        <w:bCs/>
      </w:rPr>
      <w:tblPr/>
      <w:tcPr>
        <w:tcBorders>
          <w:top w:val="single" w:sz="8" w:space="0" w:color="3B8686" w:themeColor="accent1"/>
          <w:left w:val="nil"/>
          <w:bottom w:val="single" w:sz="8" w:space="0" w:color="3B8686" w:themeColor="accent1"/>
          <w:right w:val="nil"/>
          <w:insideH w:val="nil"/>
          <w:insideV w:val="nil"/>
        </w:tcBorders>
      </w:tcPr>
    </w:tblStylePr>
    <w:tblStylePr w:type="lastRow">
      <w:pPr>
        <w:spacing w:before="0" w:after="0" w:line="240" w:lineRule="auto"/>
      </w:pPr>
      <w:rPr>
        <w:b/>
        <w:bCs/>
      </w:rPr>
      <w:tblPr/>
      <w:tcPr>
        <w:tcBorders>
          <w:top w:val="single" w:sz="8" w:space="0" w:color="3B8686" w:themeColor="accent1"/>
          <w:left w:val="nil"/>
          <w:bottom w:val="single" w:sz="8" w:space="0" w:color="3B868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E7E7" w:themeFill="accent1" w:themeFillTint="3F"/>
      </w:tcPr>
    </w:tblStylePr>
    <w:tblStylePr w:type="band1Horz">
      <w:tblPr/>
      <w:tcPr>
        <w:tcBorders>
          <w:left w:val="nil"/>
          <w:right w:val="nil"/>
          <w:insideH w:val="nil"/>
          <w:insideV w:val="nil"/>
        </w:tcBorders>
        <w:shd w:val="clear" w:color="auto" w:fill="C8E7E7" w:themeFill="accent1" w:themeFillTint="3F"/>
      </w:tcPr>
    </w:tblStylePr>
  </w:style>
  <w:style w:type="character" w:customStyle="1" w:styleId="Heading2Char">
    <w:name w:val="Heading 2 Char"/>
    <w:basedOn w:val="DefaultParagraphFont"/>
    <w:link w:val="Heading2"/>
    <w:uiPriority w:val="9"/>
    <w:rsid w:val="00C60DA9"/>
    <w:rPr>
      <w:rFonts w:asciiTheme="majorHAnsi" w:eastAsiaTheme="majorEastAsia" w:hAnsiTheme="majorHAnsi" w:cstheme="majorBidi"/>
      <w:color w:val="2C6464" w:themeColor="accent1" w:themeShade="BF"/>
      <w:sz w:val="26"/>
      <w:szCs w:val="26"/>
    </w:rPr>
  </w:style>
  <w:style w:type="paragraph" w:styleId="Title">
    <w:name w:val="Title"/>
    <w:basedOn w:val="Normal"/>
    <w:next w:val="Normal"/>
    <w:link w:val="TitleChar"/>
    <w:uiPriority w:val="10"/>
    <w:qFormat/>
    <w:rsid w:val="00BB262A"/>
    <w:pPr>
      <w:contextualSpacing/>
    </w:pPr>
    <w:rPr>
      <w:rFonts w:asciiTheme="majorHAnsi" w:eastAsiaTheme="majorEastAsia" w:hAnsiTheme="majorHAnsi" w:cstheme="majorBidi"/>
      <w:color w:val="0B486B" w:themeColor="text2"/>
      <w:spacing w:val="-10"/>
      <w:kern w:val="28"/>
      <w:sz w:val="44"/>
      <w:szCs w:val="56"/>
    </w:rPr>
  </w:style>
  <w:style w:type="character" w:customStyle="1" w:styleId="TitleChar">
    <w:name w:val="Title Char"/>
    <w:basedOn w:val="DefaultParagraphFont"/>
    <w:link w:val="Title"/>
    <w:uiPriority w:val="10"/>
    <w:rsid w:val="00BB262A"/>
    <w:rPr>
      <w:rFonts w:asciiTheme="majorHAnsi" w:eastAsiaTheme="majorEastAsia" w:hAnsiTheme="majorHAnsi" w:cstheme="majorBidi"/>
      <w:color w:val="0B486B" w:themeColor="text2"/>
      <w:spacing w:val="-10"/>
      <w:kern w:val="28"/>
      <w:sz w:val="44"/>
      <w:szCs w:val="56"/>
    </w:rPr>
  </w:style>
  <w:style w:type="character" w:customStyle="1" w:styleId="ListParagraphChar">
    <w:name w:val="List Paragraph Char"/>
    <w:aliases w:val="List Paragraph1 Char,List Paragraph11 Char,Recommendation Char,1 heading Char,Bullet point Char,Bulleted Para Char,DDM Gen Text Char,Dot point 1.5 line spacing Char,FooterText Char,L Char,List Paragraph - bullets Char,numbered Char"/>
    <w:link w:val="ListParagraph"/>
    <w:uiPriority w:val="34"/>
    <w:qFormat/>
    <w:locked/>
    <w:rsid w:val="00300B14"/>
    <w:rPr>
      <w:sz w:val="24"/>
      <w:szCs w:val="24"/>
      <w:lang w:val="en-GB"/>
    </w:rPr>
  </w:style>
  <w:style w:type="paragraph" w:styleId="FootnoteText">
    <w:name w:val="footnote text"/>
    <w:basedOn w:val="Normal"/>
    <w:link w:val="FootnoteTextChar"/>
    <w:uiPriority w:val="99"/>
    <w:semiHidden/>
    <w:unhideWhenUsed/>
    <w:rsid w:val="00B4130D"/>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B4130D"/>
    <w:rPr>
      <w:kern w:val="2"/>
      <w:sz w:val="20"/>
      <w:szCs w:val="20"/>
      <w14:ligatures w14:val="standardContextual"/>
    </w:rPr>
  </w:style>
  <w:style w:type="character" w:styleId="FootnoteReference">
    <w:name w:val="footnote reference"/>
    <w:basedOn w:val="DefaultParagraphFont"/>
    <w:uiPriority w:val="99"/>
    <w:semiHidden/>
    <w:unhideWhenUsed/>
    <w:rsid w:val="00B4130D"/>
    <w:rPr>
      <w:vertAlign w:val="superscript"/>
    </w:rPr>
  </w:style>
  <w:style w:type="character" w:styleId="FollowedHyperlink">
    <w:name w:val="FollowedHyperlink"/>
    <w:basedOn w:val="DefaultParagraphFont"/>
    <w:uiPriority w:val="99"/>
    <w:semiHidden/>
    <w:unhideWhenUsed/>
    <w:rsid w:val="00B4130D"/>
    <w:rPr>
      <w:color w:val="4BACC6" w:themeColor="followedHyperlink"/>
      <w:u w:val="single"/>
    </w:rPr>
  </w:style>
  <w:style w:type="character" w:styleId="UnresolvedMention">
    <w:name w:val="Unresolved Mention"/>
    <w:basedOn w:val="DefaultParagraphFont"/>
    <w:uiPriority w:val="99"/>
    <w:semiHidden/>
    <w:unhideWhenUsed/>
    <w:rsid w:val="00B4130D"/>
    <w:rPr>
      <w:color w:val="605E5C"/>
      <w:shd w:val="clear" w:color="auto" w:fill="E1DFDD"/>
    </w:rPr>
  </w:style>
  <w:style w:type="table" w:styleId="GridTable3-Accent2">
    <w:name w:val="Grid Table 3 Accent 2"/>
    <w:basedOn w:val="TableNormal"/>
    <w:uiPriority w:val="48"/>
    <w:rsid w:val="00B4130D"/>
    <w:tblPr>
      <w:tblStyleRowBandSize w:val="1"/>
      <w:tblStyleColBandSize w:val="1"/>
      <w:tblBorders>
        <w:top w:val="single" w:sz="4" w:space="0" w:color="AED7C2" w:themeColor="accent2" w:themeTint="99"/>
        <w:left w:val="single" w:sz="4" w:space="0" w:color="AED7C2" w:themeColor="accent2" w:themeTint="99"/>
        <w:bottom w:val="single" w:sz="4" w:space="0" w:color="AED7C2" w:themeColor="accent2" w:themeTint="99"/>
        <w:right w:val="single" w:sz="4" w:space="0" w:color="AED7C2" w:themeColor="accent2" w:themeTint="99"/>
        <w:insideH w:val="single" w:sz="4" w:space="0" w:color="AED7C2" w:themeColor="accent2" w:themeTint="99"/>
        <w:insideV w:val="single" w:sz="4" w:space="0" w:color="AED7C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1EA" w:themeFill="accent2" w:themeFillTint="33"/>
      </w:tcPr>
    </w:tblStylePr>
    <w:tblStylePr w:type="band1Horz">
      <w:tblPr/>
      <w:tcPr>
        <w:shd w:val="clear" w:color="auto" w:fill="E4F1EA" w:themeFill="accent2" w:themeFillTint="33"/>
      </w:tcPr>
    </w:tblStylePr>
    <w:tblStylePr w:type="neCell">
      <w:tblPr/>
      <w:tcPr>
        <w:tcBorders>
          <w:bottom w:val="single" w:sz="4" w:space="0" w:color="AED7C2" w:themeColor="accent2" w:themeTint="99"/>
        </w:tcBorders>
      </w:tcPr>
    </w:tblStylePr>
    <w:tblStylePr w:type="nwCell">
      <w:tblPr/>
      <w:tcPr>
        <w:tcBorders>
          <w:bottom w:val="single" w:sz="4" w:space="0" w:color="AED7C2" w:themeColor="accent2" w:themeTint="99"/>
        </w:tcBorders>
      </w:tcPr>
    </w:tblStylePr>
    <w:tblStylePr w:type="seCell">
      <w:tblPr/>
      <w:tcPr>
        <w:tcBorders>
          <w:top w:val="single" w:sz="4" w:space="0" w:color="AED7C2" w:themeColor="accent2" w:themeTint="99"/>
        </w:tcBorders>
      </w:tcPr>
    </w:tblStylePr>
    <w:tblStylePr w:type="swCell">
      <w:tblPr/>
      <w:tcPr>
        <w:tcBorders>
          <w:top w:val="single" w:sz="4" w:space="0" w:color="AED7C2" w:themeColor="accent2" w:themeTint="99"/>
        </w:tcBorders>
      </w:tcPr>
    </w:tblStylePr>
  </w:style>
  <w:style w:type="table" w:styleId="GridTable4-Accent1">
    <w:name w:val="Grid Table 4 Accent 1"/>
    <w:basedOn w:val="TableNormal"/>
    <w:uiPriority w:val="49"/>
    <w:rsid w:val="00B4130D"/>
    <w:tblPr>
      <w:tblStyleRowBandSize w:val="1"/>
      <w:tblStyleColBandSize w:val="1"/>
      <w:tblBorders>
        <w:top w:val="single" w:sz="4" w:space="0" w:color="7AC4C4" w:themeColor="accent1" w:themeTint="99"/>
        <w:left w:val="single" w:sz="4" w:space="0" w:color="7AC4C4" w:themeColor="accent1" w:themeTint="99"/>
        <w:bottom w:val="single" w:sz="4" w:space="0" w:color="7AC4C4" w:themeColor="accent1" w:themeTint="99"/>
        <w:right w:val="single" w:sz="4" w:space="0" w:color="7AC4C4" w:themeColor="accent1" w:themeTint="99"/>
        <w:insideH w:val="single" w:sz="4" w:space="0" w:color="7AC4C4" w:themeColor="accent1" w:themeTint="99"/>
        <w:insideV w:val="single" w:sz="4" w:space="0" w:color="7AC4C4" w:themeColor="accent1" w:themeTint="99"/>
      </w:tblBorders>
    </w:tblPr>
    <w:tblStylePr w:type="firstRow">
      <w:rPr>
        <w:b/>
        <w:bCs/>
        <w:color w:val="FFFFFF" w:themeColor="background1"/>
      </w:rPr>
      <w:tblPr/>
      <w:tcPr>
        <w:tcBorders>
          <w:top w:val="single" w:sz="4" w:space="0" w:color="3B8686" w:themeColor="accent1"/>
          <w:left w:val="single" w:sz="4" w:space="0" w:color="3B8686" w:themeColor="accent1"/>
          <w:bottom w:val="single" w:sz="4" w:space="0" w:color="3B8686" w:themeColor="accent1"/>
          <w:right w:val="single" w:sz="4" w:space="0" w:color="3B8686" w:themeColor="accent1"/>
          <w:insideH w:val="nil"/>
          <w:insideV w:val="nil"/>
        </w:tcBorders>
        <w:shd w:val="clear" w:color="auto" w:fill="3B8686" w:themeFill="accent1"/>
      </w:tcPr>
    </w:tblStylePr>
    <w:tblStylePr w:type="lastRow">
      <w:rPr>
        <w:b/>
        <w:bCs/>
      </w:rPr>
      <w:tblPr/>
      <w:tcPr>
        <w:tcBorders>
          <w:top w:val="double" w:sz="4" w:space="0" w:color="3B8686" w:themeColor="accent1"/>
        </w:tcBorders>
      </w:tcPr>
    </w:tblStylePr>
    <w:tblStylePr w:type="firstCol">
      <w:rPr>
        <w:b/>
        <w:bCs/>
      </w:rPr>
    </w:tblStylePr>
    <w:tblStylePr w:type="lastCol">
      <w:rPr>
        <w:b/>
        <w:bCs/>
      </w:rPr>
    </w:tblStylePr>
    <w:tblStylePr w:type="band1Vert">
      <w:tblPr/>
      <w:tcPr>
        <w:shd w:val="clear" w:color="auto" w:fill="D2EBEB" w:themeFill="accent1" w:themeFillTint="33"/>
      </w:tcPr>
    </w:tblStylePr>
    <w:tblStylePr w:type="band1Horz">
      <w:tblPr/>
      <w:tcPr>
        <w:shd w:val="clear" w:color="auto" w:fill="D2EBEB" w:themeFill="accent1" w:themeFillTint="33"/>
      </w:tcPr>
    </w:tblStylePr>
  </w:style>
  <w:style w:type="table" w:styleId="GridTable3-Accent1">
    <w:name w:val="Grid Table 3 Accent 1"/>
    <w:basedOn w:val="TableNormal"/>
    <w:uiPriority w:val="48"/>
    <w:rsid w:val="00B4130D"/>
    <w:tblPr>
      <w:tblStyleRowBandSize w:val="1"/>
      <w:tblStyleColBandSize w:val="1"/>
      <w:tblBorders>
        <w:top w:val="single" w:sz="4" w:space="0" w:color="7AC4C4" w:themeColor="accent1" w:themeTint="99"/>
        <w:left w:val="single" w:sz="4" w:space="0" w:color="7AC4C4" w:themeColor="accent1" w:themeTint="99"/>
        <w:bottom w:val="single" w:sz="4" w:space="0" w:color="7AC4C4" w:themeColor="accent1" w:themeTint="99"/>
        <w:right w:val="single" w:sz="4" w:space="0" w:color="7AC4C4" w:themeColor="accent1" w:themeTint="99"/>
        <w:insideH w:val="single" w:sz="4" w:space="0" w:color="7AC4C4" w:themeColor="accent1" w:themeTint="99"/>
        <w:insideV w:val="single" w:sz="4" w:space="0" w:color="7AC4C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EBEB" w:themeFill="accent1" w:themeFillTint="33"/>
      </w:tcPr>
    </w:tblStylePr>
    <w:tblStylePr w:type="band1Horz">
      <w:tblPr/>
      <w:tcPr>
        <w:shd w:val="clear" w:color="auto" w:fill="D2EBEB" w:themeFill="accent1" w:themeFillTint="33"/>
      </w:tcPr>
    </w:tblStylePr>
    <w:tblStylePr w:type="neCell">
      <w:tblPr/>
      <w:tcPr>
        <w:tcBorders>
          <w:bottom w:val="single" w:sz="4" w:space="0" w:color="7AC4C4" w:themeColor="accent1" w:themeTint="99"/>
        </w:tcBorders>
      </w:tcPr>
    </w:tblStylePr>
    <w:tblStylePr w:type="nwCell">
      <w:tblPr/>
      <w:tcPr>
        <w:tcBorders>
          <w:bottom w:val="single" w:sz="4" w:space="0" w:color="7AC4C4" w:themeColor="accent1" w:themeTint="99"/>
        </w:tcBorders>
      </w:tcPr>
    </w:tblStylePr>
    <w:tblStylePr w:type="seCell">
      <w:tblPr/>
      <w:tcPr>
        <w:tcBorders>
          <w:top w:val="single" w:sz="4" w:space="0" w:color="7AC4C4" w:themeColor="accent1" w:themeTint="99"/>
        </w:tcBorders>
      </w:tcPr>
    </w:tblStylePr>
    <w:tblStylePr w:type="swCell">
      <w:tblPr/>
      <w:tcPr>
        <w:tcBorders>
          <w:top w:val="single" w:sz="4" w:space="0" w:color="7AC4C4" w:themeColor="accent1" w:themeTint="99"/>
        </w:tcBorders>
      </w:tcPr>
    </w:tblStylePr>
  </w:style>
  <w:style w:type="table" w:styleId="GridTable6Colorful-Accent1">
    <w:name w:val="Grid Table 6 Colorful Accent 1"/>
    <w:basedOn w:val="TableNormal"/>
    <w:uiPriority w:val="51"/>
    <w:rsid w:val="00B4130D"/>
    <w:rPr>
      <w:color w:val="2C6464" w:themeColor="accent1" w:themeShade="BF"/>
    </w:rPr>
    <w:tblPr>
      <w:tblStyleRowBandSize w:val="1"/>
      <w:tblStyleColBandSize w:val="1"/>
      <w:tblBorders>
        <w:top w:val="single" w:sz="4" w:space="0" w:color="7AC4C4" w:themeColor="accent1" w:themeTint="99"/>
        <w:left w:val="single" w:sz="4" w:space="0" w:color="7AC4C4" w:themeColor="accent1" w:themeTint="99"/>
        <w:bottom w:val="single" w:sz="4" w:space="0" w:color="7AC4C4" w:themeColor="accent1" w:themeTint="99"/>
        <w:right w:val="single" w:sz="4" w:space="0" w:color="7AC4C4" w:themeColor="accent1" w:themeTint="99"/>
        <w:insideH w:val="single" w:sz="4" w:space="0" w:color="7AC4C4" w:themeColor="accent1" w:themeTint="99"/>
        <w:insideV w:val="single" w:sz="4" w:space="0" w:color="7AC4C4" w:themeColor="accent1" w:themeTint="99"/>
      </w:tblBorders>
    </w:tblPr>
    <w:tblStylePr w:type="firstRow">
      <w:rPr>
        <w:b/>
        <w:bCs/>
      </w:rPr>
      <w:tblPr/>
      <w:tcPr>
        <w:tcBorders>
          <w:bottom w:val="single" w:sz="12" w:space="0" w:color="7AC4C4" w:themeColor="accent1" w:themeTint="99"/>
        </w:tcBorders>
      </w:tcPr>
    </w:tblStylePr>
    <w:tblStylePr w:type="lastRow">
      <w:rPr>
        <w:b/>
        <w:bCs/>
      </w:rPr>
      <w:tblPr/>
      <w:tcPr>
        <w:tcBorders>
          <w:top w:val="double" w:sz="4" w:space="0" w:color="7AC4C4" w:themeColor="accent1" w:themeTint="99"/>
        </w:tcBorders>
      </w:tcPr>
    </w:tblStylePr>
    <w:tblStylePr w:type="firstCol">
      <w:rPr>
        <w:b/>
        <w:bCs/>
      </w:rPr>
    </w:tblStylePr>
    <w:tblStylePr w:type="lastCol">
      <w:rPr>
        <w:b/>
        <w:bCs/>
      </w:rPr>
    </w:tblStylePr>
    <w:tblStylePr w:type="band1Vert">
      <w:tblPr/>
      <w:tcPr>
        <w:shd w:val="clear" w:color="auto" w:fill="D2EBEB" w:themeFill="accent1" w:themeFillTint="33"/>
      </w:tcPr>
    </w:tblStylePr>
    <w:tblStylePr w:type="band1Horz">
      <w:tblPr/>
      <w:tcPr>
        <w:shd w:val="clear" w:color="auto" w:fill="D2EBEB" w:themeFill="accent1" w:themeFillTint="33"/>
      </w:tcPr>
    </w:tblStylePr>
  </w:style>
  <w:style w:type="character" w:customStyle="1" w:styleId="Heading3Char">
    <w:name w:val="Heading 3 Char"/>
    <w:basedOn w:val="DefaultParagraphFont"/>
    <w:link w:val="Heading3"/>
    <w:uiPriority w:val="9"/>
    <w:semiHidden/>
    <w:rsid w:val="00800BF6"/>
    <w:rPr>
      <w:rFonts w:asciiTheme="majorHAnsi" w:eastAsiaTheme="majorEastAsia" w:hAnsiTheme="majorHAnsi" w:cstheme="majorBidi"/>
      <w:color w:val="1D4242" w:themeColor="accent1" w:themeShade="7F"/>
      <w:sz w:val="24"/>
      <w:szCs w:val="24"/>
    </w:rPr>
  </w:style>
  <w:style w:type="character" w:styleId="CommentReference">
    <w:name w:val="annotation reference"/>
    <w:basedOn w:val="DefaultParagraphFont"/>
    <w:uiPriority w:val="99"/>
    <w:semiHidden/>
    <w:unhideWhenUsed/>
    <w:rsid w:val="00CB4934"/>
    <w:rPr>
      <w:sz w:val="16"/>
      <w:szCs w:val="16"/>
    </w:rPr>
  </w:style>
  <w:style w:type="paragraph" w:styleId="CommentText">
    <w:name w:val="annotation text"/>
    <w:basedOn w:val="Normal"/>
    <w:link w:val="CommentTextChar"/>
    <w:uiPriority w:val="99"/>
    <w:semiHidden/>
    <w:unhideWhenUsed/>
    <w:rsid w:val="00CB4934"/>
    <w:rPr>
      <w:sz w:val="20"/>
      <w:szCs w:val="20"/>
    </w:rPr>
  </w:style>
  <w:style w:type="character" w:customStyle="1" w:styleId="CommentTextChar">
    <w:name w:val="Comment Text Char"/>
    <w:basedOn w:val="DefaultParagraphFont"/>
    <w:link w:val="CommentText"/>
    <w:uiPriority w:val="99"/>
    <w:semiHidden/>
    <w:rsid w:val="00CB4934"/>
    <w:rPr>
      <w:sz w:val="20"/>
      <w:szCs w:val="20"/>
    </w:rPr>
  </w:style>
  <w:style w:type="paragraph" w:styleId="CommentSubject">
    <w:name w:val="annotation subject"/>
    <w:basedOn w:val="CommentText"/>
    <w:next w:val="CommentText"/>
    <w:link w:val="CommentSubjectChar"/>
    <w:uiPriority w:val="99"/>
    <w:semiHidden/>
    <w:unhideWhenUsed/>
    <w:rsid w:val="00CB4934"/>
    <w:rPr>
      <w:b/>
      <w:bCs/>
    </w:rPr>
  </w:style>
  <w:style w:type="character" w:customStyle="1" w:styleId="CommentSubjectChar">
    <w:name w:val="Comment Subject Char"/>
    <w:basedOn w:val="CommentTextChar"/>
    <w:link w:val="CommentSubject"/>
    <w:uiPriority w:val="99"/>
    <w:semiHidden/>
    <w:rsid w:val="00CB4934"/>
    <w:rPr>
      <w:b/>
      <w:bCs/>
      <w:sz w:val="20"/>
      <w:szCs w:val="20"/>
    </w:rPr>
  </w:style>
  <w:style w:type="paragraph" w:styleId="Revision">
    <w:name w:val="Revision"/>
    <w:hidden/>
    <w:uiPriority w:val="99"/>
    <w:semiHidden/>
    <w:rsid w:val="009A3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459913">
      <w:bodyDiv w:val="1"/>
      <w:marLeft w:val="0"/>
      <w:marRight w:val="0"/>
      <w:marTop w:val="0"/>
      <w:marBottom w:val="0"/>
      <w:divBdr>
        <w:top w:val="none" w:sz="0" w:space="0" w:color="auto"/>
        <w:left w:val="none" w:sz="0" w:space="0" w:color="auto"/>
        <w:bottom w:val="none" w:sz="0" w:space="0" w:color="auto"/>
        <w:right w:val="none" w:sz="0" w:space="0" w:color="auto"/>
      </w:divBdr>
      <w:divsChild>
        <w:div w:id="1263152270">
          <w:blockQuote w:val="1"/>
          <w:marLeft w:val="720"/>
          <w:marRight w:val="720"/>
          <w:marTop w:val="100"/>
          <w:marBottom w:val="100"/>
          <w:divBdr>
            <w:top w:val="none" w:sz="0" w:space="0" w:color="auto"/>
            <w:left w:val="none" w:sz="0" w:space="0" w:color="auto"/>
            <w:bottom w:val="none" w:sz="0" w:space="0" w:color="auto"/>
            <w:right w:val="none" w:sz="0" w:space="0" w:color="auto"/>
          </w:divBdr>
        </w:div>
        <w:div w:id="3038575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843300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4725635">
      <w:bodyDiv w:val="1"/>
      <w:marLeft w:val="0"/>
      <w:marRight w:val="0"/>
      <w:marTop w:val="0"/>
      <w:marBottom w:val="0"/>
      <w:divBdr>
        <w:top w:val="none" w:sz="0" w:space="0" w:color="auto"/>
        <w:left w:val="none" w:sz="0" w:space="0" w:color="auto"/>
        <w:bottom w:val="none" w:sz="0" w:space="0" w:color="auto"/>
        <w:right w:val="none" w:sz="0" w:space="0" w:color="auto"/>
      </w:divBdr>
      <w:divsChild>
        <w:div w:id="8380361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948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5474758">
      <w:bodyDiv w:val="1"/>
      <w:marLeft w:val="0"/>
      <w:marRight w:val="0"/>
      <w:marTop w:val="0"/>
      <w:marBottom w:val="0"/>
      <w:divBdr>
        <w:top w:val="none" w:sz="0" w:space="0" w:color="auto"/>
        <w:left w:val="none" w:sz="0" w:space="0" w:color="auto"/>
        <w:bottom w:val="none" w:sz="0" w:space="0" w:color="auto"/>
        <w:right w:val="none" w:sz="0" w:space="0" w:color="auto"/>
      </w:divBdr>
      <w:divsChild>
        <w:div w:id="514926774">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680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528735">
      <w:bodyDiv w:val="1"/>
      <w:marLeft w:val="0"/>
      <w:marRight w:val="0"/>
      <w:marTop w:val="0"/>
      <w:marBottom w:val="0"/>
      <w:divBdr>
        <w:top w:val="none" w:sz="0" w:space="0" w:color="auto"/>
        <w:left w:val="none" w:sz="0" w:space="0" w:color="auto"/>
        <w:bottom w:val="none" w:sz="0" w:space="0" w:color="auto"/>
        <w:right w:val="none" w:sz="0" w:space="0" w:color="auto"/>
      </w:divBdr>
    </w:div>
    <w:div w:id="1454251840">
      <w:bodyDiv w:val="1"/>
      <w:marLeft w:val="0"/>
      <w:marRight w:val="0"/>
      <w:marTop w:val="0"/>
      <w:marBottom w:val="0"/>
      <w:divBdr>
        <w:top w:val="none" w:sz="0" w:space="0" w:color="auto"/>
        <w:left w:val="none" w:sz="0" w:space="0" w:color="auto"/>
        <w:bottom w:val="none" w:sz="0" w:space="0" w:color="auto"/>
        <w:right w:val="none" w:sz="0" w:space="0" w:color="auto"/>
      </w:divBdr>
    </w:div>
    <w:div w:id="1467967746">
      <w:bodyDiv w:val="1"/>
      <w:marLeft w:val="0"/>
      <w:marRight w:val="0"/>
      <w:marTop w:val="0"/>
      <w:marBottom w:val="0"/>
      <w:divBdr>
        <w:top w:val="none" w:sz="0" w:space="0" w:color="auto"/>
        <w:left w:val="none" w:sz="0" w:space="0" w:color="auto"/>
        <w:bottom w:val="none" w:sz="0" w:space="0" w:color="auto"/>
        <w:right w:val="none" w:sz="0" w:space="0" w:color="auto"/>
      </w:divBdr>
      <w:divsChild>
        <w:div w:id="1574503899">
          <w:blockQuote w:val="1"/>
          <w:marLeft w:val="720"/>
          <w:marRight w:val="720"/>
          <w:marTop w:val="100"/>
          <w:marBottom w:val="100"/>
          <w:divBdr>
            <w:top w:val="none" w:sz="0" w:space="0" w:color="auto"/>
            <w:left w:val="none" w:sz="0" w:space="0" w:color="auto"/>
            <w:bottom w:val="none" w:sz="0" w:space="0" w:color="auto"/>
            <w:right w:val="none" w:sz="0" w:space="0" w:color="auto"/>
          </w:divBdr>
        </w:div>
        <w:div w:id="9805769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7264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EUAA">
      <a:dk1>
        <a:sysClr val="windowText" lastClr="000000"/>
      </a:dk1>
      <a:lt1>
        <a:sysClr val="window" lastClr="FFFFFF"/>
      </a:lt1>
      <a:dk2>
        <a:srgbClr val="0B486B"/>
      </a:dk2>
      <a:lt2>
        <a:srgbClr val="F2F2F2"/>
      </a:lt2>
      <a:accent1>
        <a:srgbClr val="3B8686"/>
      </a:accent1>
      <a:accent2>
        <a:srgbClr val="79BD9A"/>
      </a:accent2>
      <a:accent3>
        <a:srgbClr val="9BBB59"/>
      </a:accent3>
      <a:accent4>
        <a:srgbClr val="A8DBA8"/>
      </a:accent4>
      <a:accent5>
        <a:srgbClr val="CFF09E"/>
      </a:accent5>
      <a:accent6>
        <a:srgbClr val="D7E3BC"/>
      </a:accent6>
      <a:hlink>
        <a:srgbClr val="4F81BD"/>
      </a:hlink>
      <a:folHlink>
        <a:srgbClr val="4BACC6"/>
      </a:folHlink>
    </a:clrScheme>
    <a:fontScheme name="EUAA">
      <a:majorFont>
        <a:latin typeface="Arial Black"/>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7BCF5F62227641A9A942F44E2A88E4" ma:contentTypeVersion="14" ma:contentTypeDescription="Create a new document." ma:contentTypeScope="" ma:versionID="0443a066b3b96b5f9cfa6134bc12fdaf">
  <xsd:schema xmlns:xsd="http://www.w3.org/2001/XMLSchema" xmlns:xs="http://www.w3.org/2001/XMLSchema" xmlns:p="http://schemas.microsoft.com/office/2006/metadata/properties" xmlns:ns2="2adc9540-8a47-4778-b4f6-76eaa30e9309" xmlns:ns3="3dca84ea-da2f-4578-abb8-fb5bd289be68" targetNamespace="http://schemas.microsoft.com/office/2006/metadata/properties" ma:root="true" ma:fieldsID="ac7fd9b9dd625e305e7a6b86d4d57c57" ns2:_="" ns3:_="">
    <xsd:import namespace="2adc9540-8a47-4778-b4f6-76eaa30e9309"/>
    <xsd:import namespace="3dca84ea-da2f-4578-abb8-fb5bd289be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dc9540-8a47-4778-b4f6-76eaa30e93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d83b53e-0699-4c5c-9996-b1b4c503cc0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ca84ea-da2f-4578-abb8-fb5bd289be6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6329bec-867b-4638-9a83-2e12574fce55}" ma:internalName="TaxCatchAll" ma:showField="CatchAllData" ma:web="3dca84ea-da2f-4578-abb8-fb5bd289be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2adc9540-8a47-4778-b4f6-76eaa30e9309" xsi:nil="true"/>
    <lcf76f155ced4ddcb4097134ff3c332f xmlns="2adc9540-8a47-4778-b4f6-76eaa30e9309">
      <Terms xmlns="http://schemas.microsoft.com/office/infopath/2007/PartnerControls"/>
    </lcf76f155ced4ddcb4097134ff3c332f>
    <TaxCatchAll xmlns="3dca84ea-da2f-4578-abb8-fb5bd289be6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A964F-6D8E-4EEF-BB80-8AA9F9CDE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dc9540-8a47-4778-b4f6-76eaa30e9309"/>
    <ds:schemaRef ds:uri="3dca84ea-da2f-4578-abb8-fb5bd289b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EACAF-4517-42AC-AF8D-84767F52E8DB}">
  <ds:schemaRefs>
    <ds:schemaRef ds:uri="http://schemas.microsoft.com/sharepoint/v3/contenttype/forms"/>
  </ds:schemaRefs>
</ds:datastoreItem>
</file>

<file path=customXml/itemProps3.xml><?xml version="1.0" encoding="utf-8"?>
<ds:datastoreItem xmlns:ds="http://schemas.openxmlformats.org/officeDocument/2006/customXml" ds:itemID="{1E233C45-5AFA-4E0C-9A42-40ADF0343DFA}">
  <ds:schemaRefs>
    <ds:schemaRef ds:uri="http://schemas.microsoft.com/office/2006/metadata/properties"/>
    <ds:schemaRef ds:uri="http://schemas.microsoft.com/office/infopath/2007/PartnerControls"/>
    <ds:schemaRef ds:uri="2adc9540-8a47-4778-b4f6-76eaa30e9309"/>
    <ds:schemaRef ds:uri="3dca84ea-da2f-4578-abb8-fb5bd289be68"/>
  </ds:schemaRefs>
</ds:datastoreItem>
</file>

<file path=customXml/itemProps4.xml><?xml version="1.0" encoding="utf-8"?>
<ds:datastoreItem xmlns:ds="http://schemas.openxmlformats.org/officeDocument/2006/customXml" ds:itemID="{B5FB617B-01C3-E14B-A681-B7DEB8BF0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CONSULTATION TITLE</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 DRAFT NSW ELECTRICITY INFRASTRUCTURE FUND CONTRIBUTION DETERMINATION GUIDELINES</dc:title>
  <dc:creator>DJBurgess</dc:creator>
  <dc:description>19 August 2026</dc:description>
  <cp:lastModifiedBy>Leigh Clemow</cp:lastModifiedBy>
  <cp:revision>10</cp:revision>
  <cp:lastPrinted>2024-04-11T08:57:00Z</cp:lastPrinted>
  <dcterms:created xsi:type="dcterms:W3CDTF">2026-08-19T02:31:00Z</dcterms:created>
  <dcterms:modified xsi:type="dcterms:W3CDTF">2026-08-19T02:40:00Z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0x010100FD7BCF5F62227641A9A942F44E2A88E4</vt:lpwstr>
  </property>
  <property fmtid="{D5CDD505-2E9C-101B-9397-08002B2CF9AE}" pid="3" name="Order">
    <vt:r8>41500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